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ACB4B"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DD6509D" w14:textId="77777777" w:rsidTr="005F7F7E">
        <w:tc>
          <w:tcPr>
            <w:tcW w:w="2438" w:type="dxa"/>
            <w:shd w:val="clear" w:color="auto" w:fill="auto"/>
          </w:tcPr>
          <w:p w14:paraId="1015EE7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46911A2" w14:textId="77777777" w:rsidR="00F445B1" w:rsidRPr="00F95BC9" w:rsidRDefault="00DB7AD7" w:rsidP="004A6D2F">
            <w:pPr>
              <w:rPr>
                <w:rStyle w:val="Firstpagetablebold"/>
              </w:rPr>
            </w:pPr>
            <w:r>
              <w:rPr>
                <w:rStyle w:val="Firstpagetablebold"/>
              </w:rPr>
              <w:t>Cabinet</w:t>
            </w:r>
          </w:p>
        </w:tc>
      </w:tr>
      <w:tr w:rsidR="00CE544A" w:rsidRPr="00975B07" w14:paraId="4D923FF7" w14:textId="77777777" w:rsidTr="005F7F7E">
        <w:tc>
          <w:tcPr>
            <w:tcW w:w="2438" w:type="dxa"/>
            <w:shd w:val="clear" w:color="auto" w:fill="auto"/>
          </w:tcPr>
          <w:p w14:paraId="61DF6BE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33C5B95" w14:textId="27ABE4A9" w:rsidR="00F445B1" w:rsidRPr="001356F1" w:rsidRDefault="003B7DA1" w:rsidP="00413C2E">
            <w:pPr>
              <w:rPr>
                <w:b/>
              </w:rPr>
            </w:pPr>
            <w:r>
              <w:rPr>
                <w:rStyle w:val="Firstpagetablebold"/>
              </w:rPr>
              <w:t xml:space="preserve"> </w:t>
            </w:r>
            <w:r w:rsidR="00523D13" w:rsidRPr="00693E08">
              <w:rPr>
                <w:rStyle w:val="Firstpagetablebold"/>
                <w:shd w:val="clear" w:color="auto" w:fill="FFFFFF" w:themeFill="background1"/>
              </w:rPr>
              <w:t>1</w:t>
            </w:r>
            <w:r w:rsidR="00F227FB">
              <w:rPr>
                <w:rStyle w:val="Firstpagetablebold"/>
                <w:shd w:val="clear" w:color="auto" w:fill="FFFFFF" w:themeFill="background1"/>
              </w:rPr>
              <w:t>9</w:t>
            </w:r>
            <w:r w:rsidR="00523D13" w:rsidRPr="00693E08">
              <w:rPr>
                <w:rStyle w:val="Firstpagetablebold"/>
                <w:shd w:val="clear" w:color="auto" w:fill="FFFFFF" w:themeFill="background1"/>
              </w:rPr>
              <w:t xml:space="preserve"> December 2019</w:t>
            </w:r>
            <w:r w:rsidR="003962CC">
              <w:rPr>
                <w:rStyle w:val="Firstpagetablebold"/>
                <w:shd w:val="clear" w:color="auto" w:fill="FFFFFF" w:themeFill="background1"/>
              </w:rPr>
              <w:t xml:space="preserve"> </w:t>
            </w:r>
          </w:p>
        </w:tc>
      </w:tr>
      <w:tr w:rsidR="00CE544A" w:rsidRPr="00975B07" w14:paraId="7DFEB4A0" w14:textId="77777777" w:rsidTr="00693E08">
        <w:tc>
          <w:tcPr>
            <w:tcW w:w="2438" w:type="dxa"/>
            <w:shd w:val="clear" w:color="auto" w:fill="auto"/>
          </w:tcPr>
          <w:p w14:paraId="7EACC29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FFFFFF" w:themeFill="background1"/>
          </w:tcPr>
          <w:p w14:paraId="44B20F38" w14:textId="62678444" w:rsidR="00F445B1" w:rsidRPr="001356F1" w:rsidRDefault="00CE15E7" w:rsidP="0013753C">
            <w:pPr>
              <w:rPr>
                <w:rStyle w:val="Firstpagetablebold"/>
              </w:rPr>
            </w:pPr>
            <w:r>
              <w:rPr>
                <w:rStyle w:val="Firstpagetablebold"/>
              </w:rPr>
              <w:t>Executive Director - Development</w:t>
            </w:r>
          </w:p>
        </w:tc>
      </w:tr>
      <w:tr w:rsidR="00CE544A" w:rsidRPr="00975B07" w14:paraId="1C06D2D9" w14:textId="77777777" w:rsidTr="005F7F7E">
        <w:tc>
          <w:tcPr>
            <w:tcW w:w="2438" w:type="dxa"/>
            <w:shd w:val="clear" w:color="auto" w:fill="auto"/>
          </w:tcPr>
          <w:p w14:paraId="2F6463CC"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95564BF" w14:textId="4E0346A8" w:rsidR="00EC7637" w:rsidRPr="001356F1" w:rsidRDefault="00125CE9" w:rsidP="009E3220">
            <w:pPr>
              <w:rPr>
                <w:rStyle w:val="Firstpagetablebold"/>
              </w:rPr>
            </w:pPr>
            <w:r>
              <w:rPr>
                <w:rStyle w:val="Firstpagetablebold"/>
              </w:rPr>
              <w:t>C</w:t>
            </w:r>
            <w:r w:rsidR="00203073">
              <w:rPr>
                <w:rStyle w:val="Firstpagetablebold"/>
              </w:rPr>
              <w:t xml:space="preserve">ommercial property portfolio </w:t>
            </w:r>
            <w:r>
              <w:rPr>
                <w:rStyle w:val="Firstpagetablebold"/>
              </w:rPr>
              <w:t xml:space="preserve">investment </w:t>
            </w:r>
            <w:r w:rsidR="00203073">
              <w:rPr>
                <w:rStyle w:val="Firstpagetablebold"/>
              </w:rPr>
              <w:t>strategy</w:t>
            </w:r>
          </w:p>
        </w:tc>
      </w:tr>
    </w:tbl>
    <w:p w14:paraId="4CD3920B"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08CE0CF2" w14:textId="77777777" w:rsidTr="0080749A">
        <w:tc>
          <w:tcPr>
            <w:tcW w:w="8845" w:type="dxa"/>
            <w:gridSpan w:val="3"/>
            <w:tcBorders>
              <w:bottom w:val="single" w:sz="8" w:space="0" w:color="000000"/>
            </w:tcBorders>
            <w:hideMark/>
          </w:tcPr>
          <w:p w14:paraId="6B96873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7B7E29A" w14:textId="77777777" w:rsidTr="0080749A">
        <w:tc>
          <w:tcPr>
            <w:tcW w:w="2438" w:type="dxa"/>
            <w:gridSpan w:val="2"/>
            <w:tcBorders>
              <w:top w:val="single" w:sz="8" w:space="0" w:color="000000"/>
              <w:left w:val="single" w:sz="8" w:space="0" w:color="000000"/>
              <w:bottom w:val="nil"/>
              <w:right w:val="nil"/>
            </w:tcBorders>
            <w:hideMark/>
          </w:tcPr>
          <w:p w14:paraId="63D349CC"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3B8E862" w14:textId="0DFF5ADF" w:rsidR="00C26866" w:rsidRPr="00204042" w:rsidRDefault="00FE69D2" w:rsidP="00823285">
            <w:pPr>
              <w:jc w:val="both"/>
              <w:rPr>
                <w:b/>
              </w:rPr>
            </w:pPr>
            <w:r w:rsidRPr="00204042">
              <w:rPr>
                <w:rStyle w:val="Firstpagetablebold"/>
                <w:b w:val="0"/>
              </w:rPr>
              <w:t xml:space="preserve">To </w:t>
            </w:r>
            <w:r w:rsidR="00125CE9" w:rsidRPr="00204042">
              <w:rPr>
                <w:rStyle w:val="Firstpagetablebold"/>
                <w:b w:val="0"/>
              </w:rPr>
              <w:t xml:space="preserve">agree the </w:t>
            </w:r>
            <w:r w:rsidR="00A84697" w:rsidRPr="00204042">
              <w:rPr>
                <w:rStyle w:val="Firstpagetablebold"/>
                <w:b w:val="0"/>
              </w:rPr>
              <w:t>c</w:t>
            </w:r>
            <w:r w:rsidR="00125CE9" w:rsidRPr="00204042">
              <w:rPr>
                <w:rStyle w:val="Firstpagetablebold"/>
                <w:b w:val="0"/>
              </w:rPr>
              <w:t xml:space="preserve">ouncil’s </w:t>
            </w:r>
            <w:r w:rsidR="00B74B48" w:rsidRPr="00204042">
              <w:rPr>
                <w:rStyle w:val="Firstpagetablebold"/>
                <w:b w:val="0"/>
              </w:rPr>
              <w:t xml:space="preserve">commercial investment portfolio </w:t>
            </w:r>
            <w:r w:rsidR="00125CE9" w:rsidRPr="00204042">
              <w:rPr>
                <w:rStyle w:val="Firstpagetablebold"/>
                <w:b w:val="0"/>
              </w:rPr>
              <w:t xml:space="preserve">strategy. </w:t>
            </w:r>
          </w:p>
        </w:tc>
      </w:tr>
      <w:tr w:rsidR="00D5547E" w14:paraId="17CB593E" w14:textId="77777777" w:rsidTr="0080749A">
        <w:tc>
          <w:tcPr>
            <w:tcW w:w="2438" w:type="dxa"/>
            <w:gridSpan w:val="2"/>
            <w:tcBorders>
              <w:top w:val="nil"/>
              <w:left w:val="single" w:sz="8" w:space="0" w:color="000000"/>
              <w:bottom w:val="nil"/>
              <w:right w:val="nil"/>
            </w:tcBorders>
            <w:hideMark/>
          </w:tcPr>
          <w:p w14:paraId="547CF01B"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5814248F" w14:textId="77777777" w:rsidR="00D5547E" w:rsidRPr="001356F1" w:rsidRDefault="00D5547E" w:rsidP="00523D13">
            <w:r w:rsidRPr="001356F1">
              <w:t xml:space="preserve">Yes </w:t>
            </w:r>
          </w:p>
        </w:tc>
      </w:tr>
      <w:tr w:rsidR="00D5547E" w14:paraId="5C372FBA" w14:textId="77777777" w:rsidTr="0080749A">
        <w:tc>
          <w:tcPr>
            <w:tcW w:w="2438" w:type="dxa"/>
            <w:gridSpan w:val="2"/>
            <w:tcBorders>
              <w:top w:val="nil"/>
              <w:left w:val="single" w:sz="8" w:space="0" w:color="000000"/>
              <w:bottom w:val="nil"/>
              <w:right w:val="nil"/>
            </w:tcBorders>
            <w:hideMark/>
          </w:tcPr>
          <w:p w14:paraId="6F2B6A73"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6F9FB031" w14:textId="77777777" w:rsidR="00D5547E" w:rsidRPr="001356F1" w:rsidRDefault="00D5547E" w:rsidP="00523D13">
            <w:r w:rsidRPr="001356F1">
              <w:t xml:space="preserve">Councillor </w:t>
            </w:r>
            <w:r w:rsidR="00523D13">
              <w:t xml:space="preserve"> Ed Turner</w:t>
            </w:r>
          </w:p>
        </w:tc>
      </w:tr>
      <w:tr w:rsidR="0080749A" w14:paraId="4E61F134" w14:textId="77777777" w:rsidTr="0080749A">
        <w:tc>
          <w:tcPr>
            <w:tcW w:w="2438" w:type="dxa"/>
            <w:gridSpan w:val="2"/>
            <w:tcBorders>
              <w:top w:val="nil"/>
              <w:left w:val="single" w:sz="8" w:space="0" w:color="000000"/>
              <w:bottom w:val="nil"/>
              <w:right w:val="nil"/>
            </w:tcBorders>
          </w:tcPr>
          <w:p w14:paraId="4C2ECA03"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A08ADF5" w14:textId="77777777" w:rsidR="007D7A90" w:rsidRPr="00D21A4E" w:rsidRDefault="007D7A90" w:rsidP="007D7A90">
            <w:pPr>
              <w:rPr>
                <w:b/>
              </w:rPr>
            </w:pPr>
            <w:r w:rsidRPr="00D21A4E">
              <w:rPr>
                <w:b/>
              </w:rPr>
              <w:t>A vibrant and sustainable economy</w:t>
            </w:r>
          </w:p>
          <w:p w14:paraId="7A0653D0" w14:textId="77777777" w:rsidR="0080749A" w:rsidRPr="007D7A90" w:rsidRDefault="007D7A90" w:rsidP="00693E08">
            <w:pPr>
              <w:jc w:val="both"/>
            </w:pPr>
            <w:r w:rsidRPr="007D7A90">
              <w:t xml:space="preserve">Income derived from the commercial property portfolio is </w:t>
            </w:r>
            <w:r w:rsidR="00B74B48">
              <w:t>deployed to support</w:t>
            </w:r>
            <w:r w:rsidRPr="007D7A90">
              <w:t xml:space="preserve"> the delivery of </w:t>
            </w:r>
            <w:r w:rsidR="00B74B48">
              <w:t>council services</w:t>
            </w:r>
            <w:r w:rsidR="00125CE9">
              <w:t xml:space="preserve"> and where possible to support the economic growth of the city of Oxford</w:t>
            </w:r>
            <w:r w:rsidR="00B74B48">
              <w:t>.</w:t>
            </w:r>
          </w:p>
          <w:p w14:paraId="5FCA3B29" w14:textId="77777777" w:rsidR="007D7A90" w:rsidRPr="00D21A4E" w:rsidRDefault="007D7A90" w:rsidP="007D7A90">
            <w:pPr>
              <w:rPr>
                <w:b/>
              </w:rPr>
            </w:pPr>
            <w:r w:rsidRPr="00D21A4E">
              <w:rPr>
                <w:b/>
              </w:rPr>
              <w:t>An efficient and effective Council</w:t>
            </w:r>
          </w:p>
          <w:p w14:paraId="6C4C839C" w14:textId="77777777" w:rsidR="007D7A90" w:rsidRPr="007D7A90" w:rsidRDefault="007D7A90" w:rsidP="00693E08">
            <w:pPr>
              <w:jc w:val="both"/>
            </w:pPr>
            <w:r w:rsidRPr="007D7A90">
              <w:t xml:space="preserve">The proposed strategy will support the effective and efficient management of the property investment portfolio.  It further seeks to reduce/mitigate risk, adopt a prudent approach to raising capital and </w:t>
            </w:r>
            <w:r w:rsidR="002C2260">
              <w:t xml:space="preserve">to </w:t>
            </w:r>
            <w:r w:rsidRPr="007D7A90">
              <w:t>raise income above that currently received.</w:t>
            </w:r>
          </w:p>
        </w:tc>
      </w:tr>
      <w:tr w:rsidR="00D5547E" w14:paraId="6C6304B5" w14:textId="77777777" w:rsidTr="0080749A">
        <w:tc>
          <w:tcPr>
            <w:tcW w:w="2438" w:type="dxa"/>
            <w:gridSpan w:val="2"/>
            <w:tcBorders>
              <w:top w:val="nil"/>
              <w:left w:val="single" w:sz="8" w:space="0" w:color="000000"/>
              <w:bottom w:val="nil"/>
              <w:right w:val="nil"/>
            </w:tcBorders>
            <w:hideMark/>
          </w:tcPr>
          <w:p w14:paraId="1E6F49B6"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2E6B7B39" w14:textId="6970424E" w:rsidR="00D5547E" w:rsidRPr="001356F1" w:rsidRDefault="000E47FE" w:rsidP="005F7F7E">
            <w:r>
              <w:t>Asset Management Plan</w:t>
            </w:r>
            <w:r w:rsidR="00D07230">
              <w:t xml:space="preserve"> 2016-2020</w:t>
            </w:r>
          </w:p>
        </w:tc>
      </w:tr>
      <w:tr w:rsidR="005F7F7E" w:rsidRPr="00975B07" w14:paraId="1C0B5B72" w14:textId="77777777" w:rsidTr="00A46E98">
        <w:trPr>
          <w:trHeight w:val="413"/>
        </w:trPr>
        <w:tc>
          <w:tcPr>
            <w:tcW w:w="8845" w:type="dxa"/>
            <w:gridSpan w:val="3"/>
            <w:tcBorders>
              <w:bottom w:val="single" w:sz="8" w:space="0" w:color="000000"/>
            </w:tcBorders>
          </w:tcPr>
          <w:p w14:paraId="2DB88D24" w14:textId="12AC9EA1" w:rsidR="005F7F7E" w:rsidRPr="00975B07" w:rsidRDefault="00982BA9" w:rsidP="00982BA9">
            <w:bookmarkStart w:id="0" w:name="_GoBack"/>
            <w:r>
              <w:rPr>
                <w:rStyle w:val="Firstpagetablebold"/>
              </w:rPr>
              <w:t>Recommendation</w:t>
            </w:r>
            <w:r w:rsidR="005F7F7E">
              <w:rPr>
                <w:rStyle w:val="Firstpagetablebold"/>
              </w:rPr>
              <w:t>s:</w:t>
            </w:r>
            <w:r w:rsidR="00D07230">
              <w:rPr>
                <w:rStyle w:val="Firstpagetablebold"/>
              </w:rPr>
              <w:t xml:space="preserve"> </w:t>
            </w:r>
            <w:r w:rsidR="005F7F7E" w:rsidRPr="00982BA9">
              <w:rPr>
                <w:rStyle w:val="Firstpagetablebold"/>
                <w:b w:val="0"/>
              </w:rPr>
              <w:t xml:space="preserve">That </w:t>
            </w:r>
            <w:r w:rsidR="00DB7AD7" w:rsidRPr="00982BA9">
              <w:rPr>
                <w:rStyle w:val="Firstpagetablebold"/>
                <w:b w:val="0"/>
              </w:rPr>
              <w:t>Cabinet</w:t>
            </w:r>
            <w:r w:rsidR="005F7F7E" w:rsidRPr="00982BA9">
              <w:rPr>
                <w:rStyle w:val="Firstpagetablebold"/>
                <w:b w:val="0"/>
              </w:rPr>
              <w:t xml:space="preserve"> resolves</w:t>
            </w:r>
            <w:r w:rsidRPr="00982BA9">
              <w:rPr>
                <w:rStyle w:val="Firstpagetablebold"/>
                <w:b w:val="0"/>
              </w:rPr>
              <w:t xml:space="preserve"> to:</w:t>
            </w:r>
            <w:bookmarkEnd w:id="0"/>
          </w:p>
        </w:tc>
      </w:tr>
      <w:tr w:rsidR="0030208D" w:rsidRPr="00975B07" w14:paraId="64BEB145" w14:textId="77777777" w:rsidTr="00982BA9">
        <w:trPr>
          <w:trHeight w:val="283"/>
        </w:trPr>
        <w:tc>
          <w:tcPr>
            <w:tcW w:w="426" w:type="dxa"/>
            <w:tcBorders>
              <w:top w:val="single" w:sz="8" w:space="0" w:color="000000"/>
              <w:left w:val="single" w:sz="8" w:space="0" w:color="000000"/>
              <w:bottom w:val="single" w:sz="4" w:space="0" w:color="auto"/>
              <w:right w:val="nil"/>
            </w:tcBorders>
          </w:tcPr>
          <w:p w14:paraId="7ABFF52F" w14:textId="77777777" w:rsidR="0030208D" w:rsidRPr="00975B07" w:rsidRDefault="0030208D" w:rsidP="004A6D2F"/>
        </w:tc>
        <w:tc>
          <w:tcPr>
            <w:tcW w:w="8419" w:type="dxa"/>
            <w:gridSpan w:val="2"/>
            <w:tcBorders>
              <w:top w:val="single" w:sz="8" w:space="0" w:color="000000"/>
              <w:left w:val="nil"/>
              <w:bottom w:val="single" w:sz="4" w:space="0" w:color="auto"/>
              <w:right w:val="single" w:sz="8" w:space="0" w:color="000000"/>
            </w:tcBorders>
            <w:shd w:val="clear" w:color="auto" w:fill="auto"/>
          </w:tcPr>
          <w:p w14:paraId="312E04EF" w14:textId="77777777" w:rsidR="009C0E04" w:rsidRDefault="009C0E04" w:rsidP="00693E08"/>
          <w:p w14:paraId="4D801E37" w14:textId="74F2626C" w:rsidR="009C0E04" w:rsidRDefault="00982BA9" w:rsidP="00F23EB0">
            <w:pPr>
              <w:pStyle w:val="ListParagraph"/>
              <w:numPr>
                <w:ilvl w:val="0"/>
                <w:numId w:val="31"/>
              </w:numPr>
              <w:jc w:val="both"/>
            </w:pPr>
            <w:r w:rsidRPr="00982BA9">
              <w:rPr>
                <w:b/>
              </w:rPr>
              <w:t>A</w:t>
            </w:r>
            <w:r w:rsidR="0012314C" w:rsidRPr="00982BA9">
              <w:rPr>
                <w:b/>
              </w:rPr>
              <w:t xml:space="preserve">gree </w:t>
            </w:r>
            <w:r w:rsidR="0012314C">
              <w:t xml:space="preserve">the overarching </w:t>
            </w:r>
            <w:r w:rsidR="0061215A">
              <w:t xml:space="preserve">property investment </w:t>
            </w:r>
            <w:r w:rsidR="0012314C">
              <w:t>strategy</w:t>
            </w:r>
            <w:r w:rsidR="0061215A">
              <w:t xml:space="preserve"> contained in the confidential </w:t>
            </w:r>
            <w:r w:rsidR="00D81D0D">
              <w:t>appendices</w:t>
            </w:r>
            <w:r>
              <w:t>; and</w:t>
            </w:r>
          </w:p>
          <w:p w14:paraId="0409C3E7" w14:textId="4B499986" w:rsidR="00C6545B" w:rsidRDefault="00982BA9" w:rsidP="00505618">
            <w:pPr>
              <w:pStyle w:val="ListParagraph"/>
              <w:numPr>
                <w:ilvl w:val="0"/>
                <w:numId w:val="31"/>
              </w:numPr>
              <w:jc w:val="both"/>
              <w:rPr>
                <w:rStyle w:val="Firstpagetablebold"/>
                <w:b w:val="0"/>
              </w:rPr>
            </w:pPr>
            <w:r w:rsidRPr="00982BA9">
              <w:rPr>
                <w:rStyle w:val="Firstpagetablebold"/>
              </w:rPr>
              <w:t>N</w:t>
            </w:r>
            <w:r w:rsidR="00A84697" w:rsidRPr="00982BA9">
              <w:rPr>
                <w:rStyle w:val="Firstpagetablebold"/>
              </w:rPr>
              <w:t>ote</w:t>
            </w:r>
            <w:r w:rsidR="00A84697" w:rsidRPr="00505618">
              <w:rPr>
                <w:rStyle w:val="Firstpagetablebold"/>
                <w:b w:val="0"/>
              </w:rPr>
              <w:t xml:space="preserve"> t</w:t>
            </w:r>
            <w:r w:rsidR="00125CE9" w:rsidRPr="00505618">
              <w:rPr>
                <w:rStyle w:val="Firstpagetablebold"/>
                <w:b w:val="0"/>
              </w:rPr>
              <w:t xml:space="preserve">hat the </w:t>
            </w:r>
            <w:r w:rsidR="00C6545B" w:rsidRPr="00505618">
              <w:rPr>
                <w:rStyle w:val="Firstpagetablebold"/>
                <w:b w:val="0"/>
              </w:rPr>
              <w:t xml:space="preserve">Leader </w:t>
            </w:r>
            <w:r w:rsidR="00FC2390">
              <w:rPr>
                <w:rStyle w:val="Firstpagetablebold"/>
                <w:b w:val="0"/>
              </w:rPr>
              <w:t xml:space="preserve">will </w:t>
            </w:r>
            <w:r w:rsidR="00C6545B" w:rsidRPr="00505618">
              <w:rPr>
                <w:rStyle w:val="Firstpagetablebold"/>
                <w:b w:val="0"/>
              </w:rPr>
              <w:t>delegate the authority for the decision in relation to individual property transactions to the Cabinet Member for Finance and Asset Management.</w:t>
            </w:r>
          </w:p>
          <w:p w14:paraId="05AD30F0" w14:textId="77777777" w:rsidR="00505618" w:rsidRDefault="00505618" w:rsidP="00505618">
            <w:pPr>
              <w:pStyle w:val="ListParagraph"/>
              <w:numPr>
                <w:ilvl w:val="0"/>
                <w:numId w:val="0"/>
              </w:numPr>
              <w:ind w:left="720"/>
              <w:jc w:val="both"/>
              <w:rPr>
                <w:rStyle w:val="Firstpagetablebold"/>
              </w:rPr>
            </w:pPr>
          </w:p>
          <w:p w14:paraId="1BF6C3B5" w14:textId="05D2D388" w:rsidR="00505618" w:rsidRPr="001356F1" w:rsidRDefault="00505618" w:rsidP="00505618">
            <w:pPr>
              <w:pStyle w:val="ListParagraph"/>
              <w:numPr>
                <w:ilvl w:val="0"/>
                <w:numId w:val="0"/>
              </w:numPr>
              <w:ind w:left="720"/>
              <w:jc w:val="both"/>
            </w:pPr>
          </w:p>
        </w:tc>
      </w:tr>
    </w:tbl>
    <w:p w14:paraId="6CCF619A" w14:textId="77777777" w:rsidR="00731B31" w:rsidRDefault="00731B31" w:rsidP="00132EE9">
      <w:pPr>
        <w:pStyle w:val="Heading1"/>
      </w:pPr>
    </w:p>
    <w:tbl>
      <w:tblPr>
        <w:tblpPr w:leftFromText="180" w:rightFromText="180" w:vertAnchor="text" w:tblpY="1"/>
        <w:tblOverlap w:val="never"/>
        <w:tblW w:w="8946" w:type="dxa"/>
        <w:tblLook w:val="04A0" w:firstRow="1" w:lastRow="0" w:firstColumn="1" w:lastColumn="0" w:noHBand="0" w:noVBand="1"/>
      </w:tblPr>
      <w:tblGrid>
        <w:gridCol w:w="1420"/>
        <w:gridCol w:w="1240"/>
        <w:gridCol w:w="6286"/>
      </w:tblGrid>
      <w:tr w:rsidR="00D03C17" w:rsidRPr="00D03C17" w14:paraId="21ADEDB3" w14:textId="77777777" w:rsidTr="009E3220">
        <w:trPr>
          <w:trHeight w:val="300"/>
        </w:trPr>
        <w:tc>
          <w:tcPr>
            <w:tcW w:w="1420" w:type="dxa"/>
            <w:tcBorders>
              <w:top w:val="nil"/>
              <w:left w:val="nil"/>
              <w:bottom w:val="nil"/>
              <w:right w:val="nil"/>
            </w:tcBorders>
            <w:shd w:val="clear" w:color="auto" w:fill="auto"/>
            <w:noWrap/>
            <w:vAlign w:val="bottom"/>
            <w:hideMark/>
          </w:tcPr>
          <w:p w14:paraId="291178C8" w14:textId="77777777" w:rsidR="00D03C17" w:rsidRPr="00D03C17" w:rsidRDefault="00D03C17">
            <w:pPr>
              <w:spacing w:after="0"/>
              <w:rPr>
                <w:rFonts w:ascii="Calibri" w:hAnsi="Calibri"/>
                <w:sz w:val="22"/>
                <w:szCs w:val="22"/>
              </w:rPr>
            </w:pPr>
          </w:p>
        </w:tc>
        <w:tc>
          <w:tcPr>
            <w:tcW w:w="1240" w:type="dxa"/>
            <w:tcBorders>
              <w:top w:val="nil"/>
              <w:left w:val="nil"/>
              <w:bottom w:val="nil"/>
              <w:right w:val="nil"/>
            </w:tcBorders>
            <w:shd w:val="clear" w:color="auto" w:fill="auto"/>
            <w:noWrap/>
            <w:vAlign w:val="bottom"/>
            <w:hideMark/>
          </w:tcPr>
          <w:p w14:paraId="1E534987" w14:textId="77777777" w:rsidR="00D03C17" w:rsidRPr="00D03C17" w:rsidRDefault="00D03C17">
            <w:pPr>
              <w:spacing w:after="0"/>
              <w:rPr>
                <w:rFonts w:ascii="Calibri" w:hAnsi="Calibri"/>
                <w:sz w:val="22"/>
                <w:szCs w:val="22"/>
              </w:rPr>
            </w:pPr>
          </w:p>
        </w:tc>
        <w:tc>
          <w:tcPr>
            <w:tcW w:w="6286" w:type="dxa"/>
            <w:tcBorders>
              <w:top w:val="nil"/>
              <w:left w:val="nil"/>
              <w:bottom w:val="nil"/>
              <w:right w:val="nil"/>
            </w:tcBorders>
            <w:shd w:val="clear" w:color="auto" w:fill="auto"/>
            <w:noWrap/>
            <w:vAlign w:val="bottom"/>
            <w:hideMark/>
          </w:tcPr>
          <w:p w14:paraId="7C3894B5" w14:textId="77777777" w:rsidR="00D03C17" w:rsidRPr="00D03C17" w:rsidRDefault="00D03C17">
            <w:pPr>
              <w:spacing w:after="0"/>
              <w:rPr>
                <w:rFonts w:ascii="Calibri" w:hAnsi="Calibri"/>
                <w:sz w:val="22"/>
                <w:szCs w:val="22"/>
              </w:rPr>
            </w:pPr>
          </w:p>
        </w:tc>
      </w:tr>
      <w:tr w:rsidR="00D03C17" w:rsidRPr="00D03C17" w14:paraId="681CAAE3" w14:textId="77777777" w:rsidTr="009E3220">
        <w:trPr>
          <w:trHeight w:val="288"/>
        </w:trPr>
        <w:tc>
          <w:tcPr>
            <w:tcW w:w="1420" w:type="dxa"/>
            <w:tcBorders>
              <w:top w:val="single" w:sz="8" w:space="0" w:color="auto"/>
              <w:left w:val="single" w:sz="8" w:space="0" w:color="auto"/>
              <w:bottom w:val="nil"/>
              <w:right w:val="nil"/>
            </w:tcBorders>
            <w:shd w:val="clear" w:color="auto" w:fill="auto"/>
            <w:noWrap/>
            <w:vAlign w:val="bottom"/>
            <w:hideMark/>
          </w:tcPr>
          <w:p w14:paraId="2884AEF1" w14:textId="77777777" w:rsidR="00D03C17" w:rsidRPr="00D03C17" w:rsidRDefault="00D03C17">
            <w:pPr>
              <w:spacing w:after="0"/>
              <w:rPr>
                <w:rFonts w:ascii="Calibri" w:hAnsi="Calibri"/>
                <w:sz w:val="22"/>
                <w:szCs w:val="22"/>
              </w:rPr>
            </w:pPr>
            <w:r w:rsidRPr="00D03C17">
              <w:rPr>
                <w:rFonts w:ascii="Calibri" w:hAnsi="Calibri"/>
                <w:sz w:val="22"/>
                <w:szCs w:val="22"/>
              </w:rPr>
              <w:lastRenderedPageBreak/>
              <w:t> </w:t>
            </w:r>
          </w:p>
        </w:tc>
        <w:tc>
          <w:tcPr>
            <w:tcW w:w="1240" w:type="dxa"/>
            <w:tcBorders>
              <w:top w:val="single" w:sz="8" w:space="0" w:color="auto"/>
              <w:left w:val="nil"/>
              <w:bottom w:val="nil"/>
              <w:right w:val="nil"/>
            </w:tcBorders>
            <w:shd w:val="clear" w:color="auto" w:fill="auto"/>
            <w:noWrap/>
            <w:vAlign w:val="bottom"/>
            <w:hideMark/>
          </w:tcPr>
          <w:p w14:paraId="05380EE6" w14:textId="77777777" w:rsidR="00D03C17" w:rsidRPr="00D03C17" w:rsidRDefault="00D03C17">
            <w:pPr>
              <w:spacing w:after="0"/>
              <w:rPr>
                <w:rFonts w:ascii="Calibri" w:hAnsi="Calibri"/>
                <w:sz w:val="22"/>
                <w:szCs w:val="22"/>
              </w:rPr>
            </w:pPr>
            <w:r w:rsidRPr="00D03C17">
              <w:rPr>
                <w:rFonts w:ascii="Calibri" w:hAnsi="Calibri"/>
                <w:sz w:val="22"/>
                <w:szCs w:val="22"/>
              </w:rPr>
              <w:t> </w:t>
            </w:r>
          </w:p>
        </w:tc>
        <w:tc>
          <w:tcPr>
            <w:tcW w:w="6286" w:type="dxa"/>
            <w:tcBorders>
              <w:top w:val="single" w:sz="8" w:space="0" w:color="auto"/>
              <w:left w:val="nil"/>
              <w:bottom w:val="nil"/>
              <w:right w:val="single" w:sz="8" w:space="0" w:color="auto"/>
            </w:tcBorders>
            <w:shd w:val="clear" w:color="auto" w:fill="auto"/>
            <w:noWrap/>
            <w:vAlign w:val="bottom"/>
            <w:hideMark/>
          </w:tcPr>
          <w:p w14:paraId="52A03BA3" w14:textId="77777777" w:rsidR="00D03C17" w:rsidRPr="00D03C17" w:rsidRDefault="00D03C17">
            <w:pPr>
              <w:spacing w:after="0"/>
              <w:rPr>
                <w:rFonts w:ascii="Calibri" w:hAnsi="Calibri"/>
                <w:sz w:val="22"/>
                <w:szCs w:val="22"/>
              </w:rPr>
            </w:pPr>
            <w:r w:rsidRPr="00D03C17">
              <w:rPr>
                <w:rFonts w:ascii="Calibri" w:hAnsi="Calibri"/>
                <w:sz w:val="22"/>
                <w:szCs w:val="22"/>
              </w:rPr>
              <w:t> </w:t>
            </w:r>
          </w:p>
        </w:tc>
      </w:tr>
      <w:tr w:rsidR="00D03C17" w:rsidRPr="00D03C17" w14:paraId="55CD8361"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7DE6DDD6" w14:textId="77777777" w:rsidR="00D03C17" w:rsidRPr="00A84697" w:rsidRDefault="00D03C17">
            <w:pPr>
              <w:spacing w:after="0"/>
              <w:rPr>
                <w:rFonts w:cs="Arial"/>
              </w:rPr>
            </w:pPr>
            <w:r w:rsidRPr="00A84697">
              <w:rPr>
                <w:rFonts w:cs="Arial"/>
              </w:rPr>
              <w:t> </w:t>
            </w:r>
          </w:p>
        </w:tc>
        <w:tc>
          <w:tcPr>
            <w:tcW w:w="1240" w:type="dxa"/>
            <w:tcBorders>
              <w:top w:val="nil"/>
              <w:left w:val="nil"/>
              <w:bottom w:val="nil"/>
              <w:right w:val="nil"/>
            </w:tcBorders>
            <w:shd w:val="clear" w:color="auto" w:fill="auto"/>
            <w:noWrap/>
            <w:vAlign w:val="bottom"/>
            <w:hideMark/>
          </w:tcPr>
          <w:p w14:paraId="1CD962BD"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5AADBA36" w14:textId="77777777" w:rsidR="00D03C17" w:rsidRPr="00A84697" w:rsidRDefault="00D03C17">
            <w:pPr>
              <w:spacing w:after="0"/>
              <w:rPr>
                <w:rFonts w:cs="Arial"/>
              </w:rPr>
            </w:pPr>
            <w:r w:rsidRPr="00A84697">
              <w:rPr>
                <w:rFonts w:cs="Arial"/>
              </w:rPr>
              <w:t> </w:t>
            </w:r>
          </w:p>
        </w:tc>
      </w:tr>
      <w:tr w:rsidR="00D03C17" w:rsidRPr="00D03C17" w14:paraId="777FDCD8"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4836114E" w14:textId="6EBA6AC1" w:rsidR="00D03C17" w:rsidRPr="00A84697" w:rsidRDefault="009E3220" w:rsidP="009E3220">
            <w:pPr>
              <w:spacing w:after="0"/>
              <w:rPr>
                <w:rFonts w:cs="Arial"/>
              </w:rPr>
            </w:pPr>
            <w:r>
              <w:rPr>
                <w:rFonts w:cs="Arial"/>
              </w:rPr>
              <w:t>Appendix 1</w:t>
            </w:r>
          </w:p>
        </w:tc>
        <w:tc>
          <w:tcPr>
            <w:tcW w:w="1240" w:type="dxa"/>
            <w:tcBorders>
              <w:top w:val="nil"/>
              <w:left w:val="nil"/>
              <w:bottom w:val="nil"/>
              <w:right w:val="nil"/>
            </w:tcBorders>
            <w:shd w:val="clear" w:color="auto" w:fill="auto"/>
            <w:noWrap/>
            <w:vAlign w:val="bottom"/>
            <w:hideMark/>
          </w:tcPr>
          <w:p w14:paraId="5D42BAD8"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6406E4AE" w14:textId="77777777" w:rsidR="00D03C17" w:rsidRPr="00A84697" w:rsidRDefault="00D03C17">
            <w:pPr>
              <w:spacing w:after="0"/>
              <w:rPr>
                <w:rFonts w:cs="Arial"/>
              </w:rPr>
            </w:pPr>
            <w:r w:rsidRPr="00A84697">
              <w:rPr>
                <w:rFonts w:cs="Arial"/>
              </w:rPr>
              <w:t xml:space="preserve">EXEMPT SCHEDULE </w:t>
            </w:r>
          </w:p>
        </w:tc>
      </w:tr>
      <w:tr w:rsidR="00D03C17" w:rsidRPr="00D03C17" w14:paraId="7FCE8CF7"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7F485169" w14:textId="77777777" w:rsidR="00D03C17" w:rsidRPr="00A84697" w:rsidRDefault="00D03C17">
            <w:pPr>
              <w:spacing w:after="0"/>
              <w:rPr>
                <w:rFonts w:cs="Arial"/>
              </w:rPr>
            </w:pPr>
            <w:r w:rsidRPr="00A84697">
              <w:rPr>
                <w:rFonts w:cs="Arial"/>
              </w:rPr>
              <w:t> </w:t>
            </w:r>
          </w:p>
        </w:tc>
        <w:tc>
          <w:tcPr>
            <w:tcW w:w="1240" w:type="dxa"/>
            <w:tcBorders>
              <w:top w:val="nil"/>
              <w:left w:val="nil"/>
              <w:bottom w:val="nil"/>
              <w:right w:val="nil"/>
            </w:tcBorders>
            <w:shd w:val="clear" w:color="auto" w:fill="auto"/>
            <w:noWrap/>
            <w:vAlign w:val="bottom"/>
            <w:hideMark/>
          </w:tcPr>
          <w:p w14:paraId="14682E98"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7BD04406" w14:textId="77777777" w:rsidR="00D03C17" w:rsidRPr="00A84697" w:rsidRDefault="00D03C17">
            <w:pPr>
              <w:spacing w:after="0"/>
              <w:rPr>
                <w:rFonts w:cs="Arial"/>
              </w:rPr>
            </w:pPr>
            <w:r w:rsidRPr="00A84697">
              <w:rPr>
                <w:rFonts w:cs="Arial"/>
              </w:rPr>
              <w:t xml:space="preserve">CONFIDENTIAL AND NOT FOR PUBLICATION </w:t>
            </w:r>
          </w:p>
        </w:tc>
      </w:tr>
      <w:tr w:rsidR="00D03C17" w:rsidRPr="00D03C17" w14:paraId="112D998D"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3202EA6D" w14:textId="77777777" w:rsidR="00D03C17" w:rsidRPr="00A84697" w:rsidRDefault="00D03C17">
            <w:pPr>
              <w:spacing w:after="0"/>
              <w:rPr>
                <w:rFonts w:cs="Arial"/>
              </w:rPr>
            </w:pPr>
            <w:r w:rsidRPr="00A84697">
              <w:rPr>
                <w:rFonts w:cs="Arial"/>
              </w:rPr>
              <w:t> </w:t>
            </w:r>
          </w:p>
        </w:tc>
        <w:tc>
          <w:tcPr>
            <w:tcW w:w="1240" w:type="dxa"/>
            <w:tcBorders>
              <w:top w:val="nil"/>
              <w:left w:val="nil"/>
              <w:bottom w:val="nil"/>
              <w:right w:val="nil"/>
            </w:tcBorders>
            <w:shd w:val="clear" w:color="auto" w:fill="auto"/>
            <w:noWrap/>
            <w:vAlign w:val="bottom"/>
            <w:hideMark/>
          </w:tcPr>
          <w:p w14:paraId="34E81377"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463F9B17" w14:textId="2AFC2CF1" w:rsidR="00D03C17" w:rsidRPr="00A84697" w:rsidRDefault="00D03C17">
            <w:pPr>
              <w:spacing w:after="0"/>
              <w:rPr>
                <w:rFonts w:cs="Arial"/>
              </w:rPr>
            </w:pPr>
            <w:r w:rsidRPr="00A84697">
              <w:rPr>
                <w:rFonts w:cs="Arial"/>
              </w:rPr>
              <w:t xml:space="preserve">Proposed </w:t>
            </w:r>
            <w:r w:rsidR="009E3220">
              <w:rPr>
                <w:rFonts w:cs="Arial"/>
              </w:rPr>
              <w:t xml:space="preserve">Commercial Property Investment </w:t>
            </w:r>
            <w:r w:rsidRPr="00A84697">
              <w:rPr>
                <w:rFonts w:cs="Arial"/>
              </w:rPr>
              <w:t>Strategy</w:t>
            </w:r>
          </w:p>
        </w:tc>
      </w:tr>
      <w:tr w:rsidR="00D03C17" w:rsidRPr="00D03C17" w14:paraId="1D6E9E67"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1D6861AF" w14:textId="77777777" w:rsidR="00D03C17" w:rsidRPr="00A84697" w:rsidRDefault="00D03C17">
            <w:pPr>
              <w:spacing w:after="0"/>
              <w:rPr>
                <w:rFonts w:cs="Arial"/>
              </w:rPr>
            </w:pPr>
            <w:r w:rsidRPr="00A84697">
              <w:rPr>
                <w:rFonts w:cs="Arial"/>
              </w:rPr>
              <w:t> </w:t>
            </w:r>
          </w:p>
        </w:tc>
        <w:tc>
          <w:tcPr>
            <w:tcW w:w="1240" w:type="dxa"/>
            <w:tcBorders>
              <w:top w:val="nil"/>
              <w:left w:val="nil"/>
              <w:bottom w:val="nil"/>
              <w:right w:val="nil"/>
            </w:tcBorders>
            <w:shd w:val="clear" w:color="auto" w:fill="auto"/>
            <w:noWrap/>
            <w:vAlign w:val="bottom"/>
            <w:hideMark/>
          </w:tcPr>
          <w:p w14:paraId="48783789"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46F76F1E" w14:textId="77777777" w:rsidR="00D03C17" w:rsidRPr="00A84697" w:rsidRDefault="00D03C17">
            <w:pPr>
              <w:spacing w:after="0"/>
              <w:rPr>
                <w:rFonts w:cs="Arial"/>
              </w:rPr>
            </w:pPr>
            <w:r w:rsidRPr="00A84697">
              <w:rPr>
                <w:rFonts w:cs="Arial"/>
              </w:rPr>
              <w:t> </w:t>
            </w:r>
          </w:p>
        </w:tc>
      </w:tr>
      <w:tr w:rsidR="00D03C17" w:rsidRPr="00D03C17" w14:paraId="2111CF52"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37BF9A5A" w14:textId="009E5226" w:rsidR="00D03C17" w:rsidRPr="00A84697" w:rsidRDefault="00D03C17">
            <w:pPr>
              <w:spacing w:after="0"/>
              <w:rPr>
                <w:rFonts w:cs="Arial"/>
              </w:rPr>
            </w:pPr>
            <w:r w:rsidRPr="00A84697">
              <w:rPr>
                <w:rFonts w:cs="Arial"/>
              </w:rPr>
              <w:t xml:space="preserve">Appendix </w:t>
            </w:r>
            <w:r w:rsidR="009E3220">
              <w:rPr>
                <w:rFonts w:cs="Arial"/>
              </w:rPr>
              <w:t>2</w:t>
            </w:r>
          </w:p>
        </w:tc>
        <w:tc>
          <w:tcPr>
            <w:tcW w:w="1240" w:type="dxa"/>
            <w:tcBorders>
              <w:top w:val="nil"/>
              <w:left w:val="nil"/>
              <w:bottom w:val="nil"/>
              <w:right w:val="nil"/>
            </w:tcBorders>
            <w:shd w:val="clear" w:color="auto" w:fill="auto"/>
            <w:noWrap/>
            <w:vAlign w:val="bottom"/>
            <w:hideMark/>
          </w:tcPr>
          <w:p w14:paraId="4C914CBB"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7D397A32" w14:textId="77777777" w:rsidR="00D03C17" w:rsidRPr="00A84697" w:rsidRDefault="00D03C17">
            <w:pPr>
              <w:spacing w:after="0"/>
              <w:rPr>
                <w:rFonts w:cs="Arial"/>
              </w:rPr>
            </w:pPr>
            <w:r w:rsidRPr="00A84697">
              <w:rPr>
                <w:rFonts w:cs="Arial"/>
              </w:rPr>
              <w:t>EXEMPT SCHEDULE</w:t>
            </w:r>
          </w:p>
        </w:tc>
      </w:tr>
      <w:tr w:rsidR="00D03C17" w:rsidRPr="00D03C17" w14:paraId="7BF5C679"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434B39B5" w14:textId="77777777" w:rsidR="00D03C17" w:rsidRPr="00A84697" w:rsidRDefault="00D03C17">
            <w:pPr>
              <w:spacing w:after="0"/>
              <w:rPr>
                <w:rFonts w:cs="Arial"/>
              </w:rPr>
            </w:pPr>
            <w:r w:rsidRPr="00A84697">
              <w:rPr>
                <w:rFonts w:cs="Arial"/>
              </w:rPr>
              <w:t> </w:t>
            </w:r>
          </w:p>
        </w:tc>
        <w:tc>
          <w:tcPr>
            <w:tcW w:w="1240" w:type="dxa"/>
            <w:tcBorders>
              <w:top w:val="nil"/>
              <w:left w:val="nil"/>
              <w:bottom w:val="nil"/>
              <w:right w:val="nil"/>
            </w:tcBorders>
            <w:shd w:val="clear" w:color="auto" w:fill="auto"/>
            <w:noWrap/>
            <w:vAlign w:val="bottom"/>
            <w:hideMark/>
          </w:tcPr>
          <w:p w14:paraId="37F1A215"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4BE3C47D" w14:textId="77777777" w:rsidR="00D03C17" w:rsidRPr="00A84697" w:rsidRDefault="00D03C17">
            <w:pPr>
              <w:spacing w:after="0"/>
              <w:rPr>
                <w:rFonts w:cs="Arial"/>
              </w:rPr>
            </w:pPr>
            <w:r w:rsidRPr="00A84697">
              <w:rPr>
                <w:rFonts w:cs="Arial"/>
              </w:rPr>
              <w:t xml:space="preserve">CONFIDENTIAL AND NOT FOR PUBLICATION </w:t>
            </w:r>
          </w:p>
        </w:tc>
      </w:tr>
      <w:tr w:rsidR="00D03C17" w:rsidRPr="00D03C17" w14:paraId="78FDA52F"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1ECC12B6" w14:textId="77777777" w:rsidR="00D03C17" w:rsidRPr="00A84697" w:rsidRDefault="00D03C17">
            <w:pPr>
              <w:spacing w:after="0"/>
              <w:rPr>
                <w:rFonts w:cs="Arial"/>
              </w:rPr>
            </w:pPr>
            <w:r w:rsidRPr="00A84697">
              <w:rPr>
                <w:rFonts w:cs="Arial"/>
              </w:rPr>
              <w:t> </w:t>
            </w:r>
          </w:p>
        </w:tc>
        <w:tc>
          <w:tcPr>
            <w:tcW w:w="1240" w:type="dxa"/>
            <w:tcBorders>
              <w:top w:val="nil"/>
              <w:left w:val="nil"/>
              <w:bottom w:val="nil"/>
              <w:right w:val="nil"/>
            </w:tcBorders>
            <w:shd w:val="clear" w:color="auto" w:fill="auto"/>
            <w:noWrap/>
            <w:vAlign w:val="bottom"/>
            <w:hideMark/>
          </w:tcPr>
          <w:p w14:paraId="15F6823F"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2CEF7238" w14:textId="77777777" w:rsidR="00D03C17" w:rsidRPr="00A84697" w:rsidRDefault="00D03C17">
            <w:pPr>
              <w:spacing w:after="0"/>
              <w:rPr>
                <w:rFonts w:cs="Arial"/>
              </w:rPr>
            </w:pPr>
            <w:r w:rsidRPr="00A84697">
              <w:rPr>
                <w:rFonts w:cs="Arial"/>
              </w:rPr>
              <w:t>Jones Lang LaSalle analysis of the Oxford City Council</w:t>
            </w:r>
          </w:p>
        </w:tc>
      </w:tr>
      <w:tr w:rsidR="00D03C17" w:rsidRPr="00D03C17" w14:paraId="7253DF4E"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35B6E9EC" w14:textId="77777777" w:rsidR="00D03C17" w:rsidRPr="00A84697" w:rsidRDefault="00D03C17">
            <w:pPr>
              <w:spacing w:after="0"/>
              <w:rPr>
                <w:rFonts w:cs="Arial"/>
              </w:rPr>
            </w:pPr>
            <w:r w:rsidRPr="00A84697">
              <w:rPr>
                <w:rFonts w:cs="Arial"/>
              </w:rPr>
              <w:t> </w:t>
            </w:r>
          </w:p>
        </w:tc>
        <w:tc>
          <w:tcPr>
            <w:tcW w:w="1240" w:type="dxa"/>
            <w:tcBorders>
              <w:top w:val="nil"/>
              <w:left w:val="nil"/>
              <w:bottom w:val="nil"/>
              <w:right w:val="nil"/>
            </w:tcBorders>
            <w:shd w:val="clear" w:color="auto" w:fill="auto"/>
            <w:noWrap/>
            <w:vAlign w:val="bottom"/>
            <w:hideMark/>
          </w:tcPr>
          <w:p w14:paraId="4538C126"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2D56B469" w14:textId="77777777" w:rsidR="00D03C17" w:rsidRPr="00A84697" w:rsidRDefault="00D03C17">
            <w:pPr>
              <w:spacing w:after="0"/>
              <w:rPr>
                <w:rFonts w:cs="Arial"/>
              </w:rPr>
            </w:pPr>
            <w:r w:rsidRPr="00A84697">
              <w:rPr>
                <w:rFonts w:cs="Arial"/>
              </w:rPr>
              <w:t>Investment Portfolio dated October 2019.</w:t>
            </w:r>
          </w:p>
        </w:tc>
      </w:tr>
      <w:tr w:rsidR="00D03C17" w:rsidRPr="00D03C17" w14:paraId="664C4A11"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16AAB843" w14:textId="77777777" w:rsidR="00D03C17" w:rsidRPr="00A84697" w:rsidRDefault="00D03C17">
            <w:pPr>
              <w:spacing w:after="0"/>
              <w:rPr>
                <w:rFonts w:cs="Arial"/>
              </w:rPr>
            </w:pPr>
            <w:r w:rsidRPr="00A84697">
              <w:rPr>
                <w:rFonts w:cs="Arial"/>
              </w:rPr>
              <w:t> </w:t>
            </w:r>
          </w:p>
        </w:tc>
        <w:tc>
          <w:tcPr>
            <w:tcW w:w="1240" w:type="dxa"/>
            <w:tcBorders>
              <w:top w:val="nil"/>
              <w:left w:val="nil"/>
              <w:bottom w:val="nil"/>
              <w:right w:val="nil"/>
            </w:tcBorders>
            <w:shd w:val="clear" w:color="auto" w:fill="auto"/>
            <w:noWrap/>
            <w:vAlign w:val="bottom"/>
            <w:hideMark/>
          </w:tcPr>
          <w:p w14:paraId="2E6B9EA9" w14:textId="77777777" w:rsidR="00D03C17" w:rsidRPr="00A84697" w:rsidRDefault="00D03C17">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71B27556" w14:textId="77777777" w:rsidR="00D03C17" w:rsidRPr="00A84697" w:rsidRDefault="00D03C17">
            <w:pPr>
              <w:spacing w:after="0"/>
              <w:rPr>
                <w:rFonts w:cs="Arial"/>
              </w:rPr>
            </w:pPr>
            <w:r w:rsidRPr="00A84697">
              <w:rPr>
                <w:rFonts w:cs="Arial"/>
              </w:rPr>
              <w:t> </w:t>
            </w:r>
          </w:p>
        </w:tc>
      </w:tr>
      <w:tr w:rsidR="009E3220" w:rsidRPr="00D03C17" w14:paraId="3E805C16"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17C268B0" w14:textId="54C21BCC" w:rsidR="009E3220" w:rsidRPr="00A84697" w:rsidRDefault="009E3220" w:rsidP="009E3220">
            <w:pPr>
              <w:spacing w:after="0"/>
              <w:rPr>
                <w:rFonts w:cs="Arial"/>
              </w:rPr>
            </w:pPr>
            <w:r w:rsidRPr="00A84697">
              <w:rPr>
                <w:rFonts w:cs="Arial"/>
              </w:rPr>
              <w:t xml:space="preserve">Appendix </w:t>
            </w:r>
            <w:r>
              <w:rPr>
                <w:rFonts w:cs="Arial"/>
              </w:rPr>
              <w:t>3</w:t>
            </w:r>
          </w:p>
        </w:tc>
        <w:tc>
          <w:tcPr>
            <w:tcW w:w="1240" w:type="dxa"/>
            <w:tcBorders>
              <w:top w:val="nil"/>
              <w:left w:val="nil"/>
              <w:bottom w:val="nil"/>
              <w:right w:val="nil"/>
            </w:tcBorders>
            <w:shd w:val="clear" w:color="auto" w:fill="auto"/>
            <w:noWrap/>
            <w:vAlign w:val="bottom"/>
            <w:hideMark/>
          </w:tcPr>
          <w:p w14:paraId="1836DABE" w14:textId="77777777" w:rsidR="009E3220" w:rsidRPr="00A84697" w:rsidRDefault="009E3220" w:rsidP="009E3220">
            <w:pPr>
              <w:spacing w:after="0"/>
              <w:rPr>
                <w:rFonts w:cs="Arial"/>
              </w:rPr>
            </w:pPr>
          </w:p>
        </w:tc>
        <w:tc>
          <w:tcPr>
            <w:tcW w:w="6286" w:type="dxa"/>
            <w:tcBorders>
              <w:top w:val="nil"/>
              <w:left w:val="nil"/>
              <w:bottom w:val="nil"/>
              <w:right w:val="single" w:sz="8" w:space="0" w:color="auto"/>
            </w:tcBorders>
            <w:shd w:val="clear" w:color="auto" w:fill="auto"/>
            <w:noWrap/>
            <w:vAlign w:val="bottom"/>
            <w:hideMark/>
          </w:tcPr>
          <w:p w14:paraId="0B726459" w14:textId="35B15074" w:rsidR="009E3220" w:rsidRPr="00A84697" w:rsidRDefault="009E3220" w:rsidP="009E3220">
            <w:pPr>
              <w:spacing w:after="0"/>
              <w:rPr>
                <w:rFonts w:cs="Arial"/>
              </w:rPr>
            </w:pPr>
            <w:r w:rsidRPr="00A84697">
              <w:rPr>
                <w:rFonts w:cs="Arial"/>
              </w:rPr>
              <w:t>EXEMPT SCHEDULE</w:t>
            </w:r>
          </w:p>
        </w:tc>
      </w:tr>
      <w:tr w:rsidR="009E3220" w:rsidRPr="00D03C17" w14:paraId="3DCBD435" w14:textId="77777777" w:rsidTr="009E3220">
        <w:trPr>
          <w:trHeight w:val="288"/>
        </w:trPr>
        <w:tc>
          <w:tcPr>
            <w:tcW w:w="1420" w:type="dxa"/>
            <w:tcBorders>
              <w:top w:val="nil"/>
              <w:left w:val="single" w:sz="8" w:space="0" w:color="auto"/>
              <w:bottom w:val="nil"/>
              <w:right w:val="nil"/>
            </w:tcBorders>
            <w:shd w:val="clear" w:color="auto" w:fill="auto"/>
            <w:noWrap/>
            <w:vAlign w:val="bottom"/>
            <w:hideMark/>
          </w:tcPr>
          <w:p w14:paraId="5D5982D8" w14:textId="77777777" w:rsidR="009E3220" w:rsidRPr="00D03C17" w:rsidRDefault="009E3220" w:rsidP="009E3220">
            <w:pPr>
              <w:spacing w:after="0"/>
              <w:rPr>
                <w:rFonts w:ascii="Calibri" w:hAnsi="Calibri"/>
                <w:sz w:val="22"/>
                <w:szCs w:val="22"/>
              </w:rPr>
            </w:pPr>
            <w:r w:rsidRPr="00D03C17">
              <w:rPr>
                <w:rFonts w:ascii="Calibri" w:hAnsi="Calibri"/>
                <w:sz w:val="22"/>
                <w:szCs w:val="22"/>
              </w:rPr>
              <w:t> </w:t>
            </w:r>
          </w:p>
        </w:tc>
        <w:tc>
          <w:tcPr>
            <w:tcW w:w="1240" w:type="dxa"/>
            <w:tcBorders>
              <w:top w:val="nil"/>
              <w:left w:val="nil"/>
              <w:bottom w:val="nil"/>
              <w:right w:val="nil"/>
            </w:tcBorders>
            <w:shd w:val="clear" w:color="auto" w:fill="auto"/>
            <w:noWrap/>
            <w:vAlign w:val="bottom"/>
            <w:hideMark/>
          </w:tcPr>
          <w:p w14:paraId="4DFD83EA" w14:textId="77777777" w:rsidR="009E3220" w:rsidRPr="00D03C17" w:rsidRDefault="009E3220" w:rsidP="009E3220">
            <w:pPr>
              <w:spacing w:after="0"/>
              <w:rPr>
                <w:rFonts w:ascii="Calibri" w:hAnsi="Calibri"/>
                <w:sz w:val="22"/>
                <w:szCs w:val="22"/>
              </w:rPr>
            </w:pPr>
          </w:p>
        </w:tc>
        <w:tc>
          <w:tcPr>
            <w:tcW w:w="6286" w:type="dxa"/>
            <w:tcBorders>
              <w:top w:val="nil"/>
              <w:left w:val="nil"/>
              <w:bottom w:val="nil"/>
              <w:right w:val="single" w:sz="8" w:space="0" w:color="auto"/>
            </w:tcBorders>
            <w:shd w:val="clear" w:color="auto" w:fill="auto"/>
            <w:noWrap/>
            <w:vAlign w:val="bottom"/>
            <w:hideMark/>
          </w:tcPr>
          <w:p w14:paraId="11BA93FC" w14:textId="6E68544B" w:rsidR="009E3220" w:rsidRPr="00D03C17" w:rsidRDefault="009E3220" w:rsidP="009E3220">
            <w:pPr>
              <w:spacing w:after="0"/>
              <w:rPr>
                <w:rFonts w:ascii="Calibri" w:hAnsi="Calibri"/>
                <w:sz w:val="22"/>
                <w:szCs w:val="22"/>
              </w:rPr>
            </w:pPr>
            <w:r w:rsidRPr="00A84697">
              <w:rPr>
                <w:rFonts w:cs="Arial"/>
              </w:rPr>
              <w:t xml:space="preserve">CONFIDENTIAL AND NOT FOR PUBLICATION </w:t>
            </w:r>
          </w:p>
        </w:tc>
      </w:tr>
      <w:tr w:rsidR="009E3220" w:rsidRPr="00D03C17" w14:paraId="098AC643" w14:textId="77777777" w:rsidTr="009E3220">
        <w:trPr>
          <w:trHeight w:val="300"/>
        </w:trPr>
        <w:tc>
          <w:tcPr>
            <w:tcW w:w="1420" w:type="dxa"/>
            <w:tcBorders>
              <w:top w:val="nil"/>
              <w:left w:val="single" w:sz="8" w:space="0" w:color="auto"/>
              <w:bottom w:val="single" w:sz="8" w:space="0" w:color="auto"/>
              <w:right w:val="nil"/>
            </w:tcBorders>
            <w:shd w:val="clear" w:color="auto" w:fill="auto"/>
            <w:noWrap/>
            <w:vAlign w:val="bottom"/>
            <w:hideMark/>
          </w:tcPr>
          <w:p w14:paraId="4F98CECB" w14:textId="77777777" w:rsidR="009E3220" w:rsidRPr="00D03C17" w:rsidRDefault="009E3220" w:rsidP="009E3220">
            <w:pPr>
              <w:spacing w:after="0"/>
              <w:rPr>
                <w:rFonts w:ascii="Calibri" w:hAnsi="Calibri"/>
                <w:sz w:val="22"/>
                <w:szCs w:val="22"/>
              </w:rPr>
            </w:pPr>
            <w:r w:rsidRPr="00D03C17">
              <w:rPr>
                <w:rFonts w:ascii="Calibri" w:hAnsi="Calibri"/>
                <w:sz w:val="22"/>
                <w:szCs w:val="22"/>
              </w:rPr>
              <w:t> </w:t>
            </w:r>
          </w:p>
        </w:tc>
        <w:tc>
          <w:tcPr>
            <w:tcW w:w="1240" w:type="dxa"/>
            <w:tcBorders>
              <w:top w:val="nil"/>
              <w:left w:val="nil"/>
              <w:bottom w:val="single" w:sz="8" w:space="0" w:color="auto"/>
              <w:right w:val="nil"/>
            </w:tcBorders>
            <w:shd w:val="clear" w:color="auto" w:fill="auto"/>
            <w:noWrap/>
            <w:vAlign w:val="bottom"/>
            <w:hideMark/>
          </w:tcPr>
          <w:p w14:paraId="34421DE9" w14:textId="77777777" w:rsidR="009E3220" w:rsidRPr="00D03C17" w:rsidRDefault="009E3220" w:rsidP="009E3220">
            <w:pPr>
              <w:spacing w:after="0"/>
              <w:rPr>
                <w:rFonts w:ascii="Calibri" w:hAnsi="Calibri"/>
                <w:sz w:val="22"/>
                <w:szCs w:val="22"/>
              </w:rPr>
            </w:pPr>
            <w:r w:rsidRPr="00D03C17">
              <w:rPr>
                <w:rFonts w:ascii="Calibri" w:hAnsi="Calibri"/>
                <w:sz w:val="22"/>
                <w:szCs w:val="22"/>
              </w:rPr>
              <w:t> </w:t>
            </w:r>
          </w:p>
        </w:tc>
        <w:tc>
          <w:tcPr>
            <w:tcW w:w="6286" w:type="dxa"/>
            <w:tcBorders>
              <w:top w:val="nil"/>
              <w:left w:val="nil"/>
              <w:bottom w:val="single" w:sz="8" w:space="0" w:color="auto"/>
              <w:right w:val="single" w:sz="8" w:space="0" w:color="auto"/>
            </w:tcBorders>
            <w:shd w:val="clear" w:color="auto" w:fill="auto"/>
            <w:noWrap/>
            <w:vAlign w:val="bottom"/>
            <w:hideMark/>
          </w:tcPr>
          <w:p w14:paraId="67823727" w14:textId="6CEAC9CD" w:rsidR="009E3220" w:rsidRPr="00D03C17" w:rsidRDefault="009E3220" w:rsidP="00A304AE">
            <w:pPr>
              <w:spacing w:after="0"/>
              <w:rPr>
                <w:rFonts w:ascii="Calibri" w:hAnsi="Calibri"/>
                <w:sz w:val="22"/>
                <w:szCs w:val="22"/>
              </w:rPr>
            </w:pPr>
            <w:r w:rsidRPr="00A84697">
              <w:rPr>
                <w:rFonts w:cs="Arial"/>
              </w:rPr>
              <w:t>Risk Register</w:t>
            </w:r>
          </w:p>
        </w:tc>
      </w:tr>
      <w:tr w:rsidR="009E3220" w:rsidRPr="00D03C17" w14:paraId="4122DEC2" w14:textId="77777777" w:rsidTr="009E3220">
        <w:trPr>
          <w:trHeight w:val="288"/>
        </w:trPr>
        <w:tc>
          <w:tcPr>
            <w:tcW w:w="1420" w:type="dxa"/>
            <w:tcBorders>
              <w:top w:val="nil"/>
              <w:left w:val="nil"/>
              <w:bottom w:val="nil"/>
              <w:right w:val="nil"/>
            </w:tcBorders>
            <w:shd w:val="clear" w:color="auto" w:fill="auto"/>
            <w:noWrap/>
            <w:vAlign w:val="bottom"/>
            <w:hideMark/>
          </w:tcPr>
          <w:p w14:paraId="2BE4ABD1" w14:textId="77777777" w:rsidR="009E3220" w:rsidRPr="00D03C17" w:rsidRDefault="009E3220" w:rsidP="009E3220">
            <w:pPr>
              <w:spacing w:after="0"/>
              <w:rPr>
                <w:rFonts w:ascii="Calibri" w:hAnsi="Calibri"/>
                <w:sz w:val="22"/>
                <w:szCs w:val="22"/>
              </w:rPr>
            </w:pPr>
          </w:p>
        </w:tc>
        <w:tc>
          <w:tcPr>
            <w:tcW w:w="1240" w:type="dxa"/>
            <w:tcBorders>
              <w:top w:val="nil"/>
              <w:left w:val="nil"/>
              <w:bottom w:val="nil"/>
              <w:right w:val="nil"/>
            </w:tcBorders>
            <w:shd w:val="clear" w:color="auto" w:fill="auto"/>
            <w:noWrap/>
            <w:vAlign w:val="bottom"/>
            <w:hideMark/>
          </w:tcPr>
          <w:p w14:paraId="7EA04298" w14:textId="77777777" w:rsidR="009E3220" w:rsidRPr="00D03C17" w:rsidRDefault="009E3220" w:rsidP="009E3220">
            <w:pPr>
              <w:spacing w:after="0"/>
              <w:rPr>
                <w:rFonts w:ascii="Calibri" w:hAnsi="Calibri"/>
                <w:sz w:val="22"/>
                <w:szCs w:val="22"/>
              </w:rPr>
            </w:pPr>
          </w:p>
        </w:tc>
        <w:tc>
          <w:tcPr>
            <w:tcW w:w="6286" w:type="dxa"/>
            <w:tcBorders>
              <w:top w:val="nil"/>
              <w:left w:val="nil"/>
              <w:bottom w:val="nil"/>
              <w:right w:val="nil"/>
            </w:tcBorders>
            <w:shd w:val="clear" w:color="auto" w:fill="auto"/>
            <w:noWrap/>
            <w:vAlign w:val="bottom"/>
            <w:hideMark/>
          </w:tcPr>
          <w:p w14:paraId="6527C0F8" w14:textId="77777777" w:rsidR="009E3220" w:rsidRPr="00D03C17" w:rsidRDefault="009E3220" w:rsidP="009E3220">
            <w:pPr>
              <w:spacing w:after="0"/>
              <w:rPr>
                <w:rFonts w:ascii="Calibri" w:hAnsi="Calibri"/>
                <w:sz w:val="22"/>
                <w:szCs w:val="22"/>
              </w:rPr>
            </w:pPr>
          </w:p>
        </w:tc>
      </w:tr>
    </w:tbl>
    <w:p w14:paraId="0803D33F" w14:textId="064CA39B" w:rsidR="00132EE9" w:rsidRPr="00402B7E" w:rsidRDefault="00D03C17" w:rsidP="00A304AE">
      <w:pPr>
        <w:pStyle w:val="Heading1"/>
      </w:pPr>
      <w:r>
        <w:br w:type="textWrapping" w:clear="all"/>
      </w:r>
      <w:r w:rsidR="00F66DCA" w:rsidRPr="00402B7E">
        <w:t>Introduction and b</w:t>
      </w:r>
      <w:r w:rsidR="00151888" w:rsidRPr="00402B7E">
        <w:t>ackground</w:t>
      </w:r>
    </w:p>
    <w:p w14:paraId="4C7D3EF9" w14:textId="54940A2F" w:rsidR="00C73996" w:rsidRPr="00402B7E" w:rsidRDefault="00C73996" w:rsidP="00402B7E">
      <w:pPr>
        <w:pStyle w:val="ListParagraph"/>
      </w:pPr>
      <w:r w:rsidRPr="00402B7E">
        <w:t xml:space="preserve">Oxford City Council’s commercial property portfolio provides an essential revenue stream that supports the council’s core activities.  </w:t>
      </w:r>
      <w:r w:rsidR="00FC2390">
        <w:t>The portfolio’s</w:t>
      </w:r>
      <w:r w:rsidRPr="00402B7E">
        <w:t xml:space="preserve"> successful performance is critical to supporting the </w:t>
      </w:r>
      <w:r w:rsidR="00FC2390">
        <w:t>Council’s M</w:t>
      </w:r>
      <w:r w:rsidRPr="00402B7E">
        <w:t xml:space="preserve">edium </w:t>
      </w:r>
      <w:r w:rsidR="00FC2390">
        <w:t>T</w:t>
      </w:r>
      <w:r w:rsidRPr="00402B7E">
        <w:t xml:space="preserve">erm </w:t>
      </w:r>
      <w:r w:rsidR="00FC2390">
        <w:t>F</w:t>
      </w:r>
      <w:r w:rsidRPr="00402B7E">
        <w:t xml:space="preserve">inancial </w:t>
      </w:r>
      <w:r w:rsidR="00FC2390">
        <w:t>P</w:t>
      </w:r>
      <w:r w:rsidRPr="00402B7E">
        <w:t>lan and key to delivering social and economic benefits across the city.</w:t>
      </w:r>
    </w:p>
    <w:p w14:paraId="7BE5B311" w14:textId="4E577FF2" w:rsidR="00C73996" w:rsidRPr="00402B7E" w:rsidRDefault="00C73996" w:rsidP="00402B7E">
      <w:pPr>
        <w:pStyle w:val="ListParagraph"/>
      </w:pPr>
      <w:r w:rsidRPr="00402B7E">
        <w:t xml:space="preserve">The majority of the portfolio is a legacy from historic ownerships spread across the city and comprises assets in the retail, office, hotel and industrial sectors.  It also includes agricultural land, moorings, operational buildings, community centres, </w:t>
      </w:r>
      <w:r w:rsidR="00FC2390">
        <w:t>the</w:t>
      </w:r>
      <w:r w:rsidRPr="00402B7E">
        <w:t xml:space="preserve"> covered market and depots.  The opportunity has presented itself to undertake a review of these ownerships and seek </w:t>
      </w:r>
      <w:proofErr w:type="gramStart"/>
      <w:r w:rsidRPr="00402B7E">
        <w:t>a strategy that can</w:t>
      </w:r>
      <w:proofErr w:type="gramEnd"/>
      <w:r w:rsidRPr="00402B7E">
        <w:t xml:space="preserve"> future proof this income stream.</w:t>
      </w:r>
    </w:p>
    <w:p w14:paraId="3613807F" w14:textId="12BAB92D" w:rsidR="00C73996" w:rsidRPr="00402B7E" w:rsidRDefault="00FC2390" w:rsidP="00402B7E">
      <w:pPr>
        <w:pStyle w:val="ListParagraph"/>
      </w:pPr>
      <w:r>
        <w:t>The</w:t>
      </w:r>
      <w:r w:rsidR="00950676">
        <w:t xml:space="preserve"> portfolio now produces around</w:t>
      </w:r>
      <w:r w:rsidR="00C73996" w:rsidRPr="00402B7E">
        <w:t xml:space="preserve"> £12m of revenue per annum, up from £8m over the past decade.  This increased contribution has in part been due to Oxford’s prevailing economic strength and its resilience to macro-economic influencers.  However its future success is not guaranteed and new trends and economic instability threaten its continued success.</w:t>
      </w:r>
    </w:p>
    <w:p w14:paraId="25356294" w14:textId="77777777" w:rsidR="00C73996" w:rsidRPr="00402B7E" w:rsidRDefault="00C73996" w:rsidP="00402B7E">
      <w:pPr>
        <w:pStyle w:val="ListParagraph"/>
      </w:pPr>
      <w:r w:rsidRPr="00402B7E">
        <w:t>Significant structural changes must be employed within the portfolio to mitigate these risks.  This includes diversification away from the over exposure to the retail market, adopting a robust future investment strategy and developing key performance monitoring to support efficient asset management.</w:t>
      </w:r>
    </w:p>
    <w:p w14:paraId="0C138476" w14:textId="77777777" w:rsidR="00C73996" w:rsidRPr="00402B7E" w:rsidRDefault="00C73996" w:rsidP="00402B7E">
      <w:pPr>
        <w:pStyle w:val="ListParagraph"/>
      </w:pPr>
      <w:r w:rsidRPr="00402B7E">
        <w:t>Supporting these measures will ensure the portfolio can continue to deliver a strong revenue stream to support the council’s wider aspirations.  A fundamental review has therefore been undertaken to support the council as it navigates its path through increasingly difficult national economic and social challenges.</w:t>
      </w:r>
    </w:p>
    <w:p w14:paraId="15CBC5D2" w14:textId="61D454A9" w:rsidR="00C6445E" w:rsidRDefault="00324E17" w:rsidP="00402B7E">
      <w:pPr>
        <w:pStyle w:val="ListParagraph"/>
      </w:pPr>
      <w:r w:rsidRPr="00324E17">
        <w:t>Jones Lang LaSalle Incorporated</w:t>
      </w:r>
      <w:r w:rsidR="00060514">
        <w:t>,</w:t>
      </w:r>
      <w:r w:rsidRPr="00324E17">
        <w:t xml:space="preserve"> </w:t>
      </w:r>
      <w:r w:rsidR="006D51E8">
        <w:t>(</w:t>
      </w:r>
      <w:r w:rsidR="006D51E8" w:rsidRPr="00324E17">
        <w:t>JLL</w:t>
      </w:r>
      <w:r w:rsidR="006D51E8">
        <w:t>),</w:t>
      </w:r>
      <w:r w:rsidR="006D51E8" w:rsidRPr="00324E17">
        <w:t xml:space="preserve"> </w:t>
      </w:r>
      <w:r w:rsidRPr="00324E17">
        <w:t xml:space="preserve">a </w:t>
      </w:r>
      <w:r w:rsidR="00060514">
        <w:t>leading</w:t>
      </w:r>
      <w:r w:rsidRPr="00324E17">
        <w:t xml:space="preserve"> global professional services and investment management firm speciali</w:t>
      </w:r>
      <w:r w:rsidR="00FC2390">
        <w:t>s</w:t>
      </w:r>
      <w:r w:rsidRPr="00324E17">
        <w:t>ing in real estate</w:t>
      </w:r>
      <w:r w:rsidR="006D51E8">
        <w:t>,</w:t>
      </w:r>
      <w:r>
        <w:t xml:space="preserve"> were </w:t>
      </w:r>
      <w:r w:rsidR="0012314C">
        <w:t xml:space="preserve">instructed to </w:t>
      </w:r>
      <w:r w:rsidR="0065407D">
        <w:t xml:space="preserve">carry out </w:t>
      </w:r>
      <w:r w:rsidR="00132EE9">
        <w:t>a review of Oxford City Council</w:t>
      </w:r>
      <w:r w:rsidR="0065407D">
        <w:t>’s</w:t>
      </w:r>
      <w:r>
        <w:t xml:space="preserve"> (the council)</w:t>
      </w:r>
      <w:r w:rsidR="0065407D">
        <w:t xml:space="preserve"> commercial</w:t>
      </w:r>
      <w:r w:rsidR="00132EE9">
        <w:t xml:space="preserve"> property investment portfolio. </w:t>
      </w:r>
      <w:r w:rsidR="0065407D">
        <w:t xml:space="preserve"> JLL h</w:t>
      </w:r>
      <w:r w:rsidR="00C6445E">
        <w:t>as</w:t>
      </w:r>
      <w:r w:rsidR="0065407D">
        <w:t xml:space="preserve"> undertaken detailed analysis </w:t>
      </w:r>
      <w:r w:rsidR="00C6445E">
        <w:t>of the individual assets and the make-up of the portfolio</w:t>
      </w:r>
      <w:r w:rsidR="00D33D18">
        <w:t xml:space="preserve"> </w:t>
      </w:r>
      <w:r w:rsidR="00C6445E">
        <w:t>against the objectives below:</w:t>
      </w:r>
    </w:p>
    <w:p w14:paraId="4570CA07" w14:textId="77777777" w:rsidR="00C6445E" w:rsidRDefault="00C6445E" w:rsidP="00F23EB0">
      <w:pPr>
        <w:pStyle w:val="ListParagraph"/>
        <w:numPr>
          <w:ilvl w:val="0"/>
          <w:numId w:val="14"/>
        </w:numPr>
        <w:ind w:right="1076"/>
        <w:jc w:val="both"/>
      </w:pPr>
      <w:r>
        <w:t>To provide a long term, secure and independent source of income (primary objective)</w:t>
      </w:r>
      <w:r w:rsidR="003962CC">
        <w:t>.</w:t>
      </w:r>
    </w:p>
    <w:p w14:paraId="130345FD" w14:textId="77777777" w:rsidR="00C6445E" w:rsidRDefault="00C6445E" w:rsidP="00F23EB0">
      <w:pPr>
        <w:pStyle w:val="ListParagraph"/>
        <w:numPr>
          <w:ilvl w:val="0"/>
          <w:numId w:val="14"/>
        </w:numPr>
        <w:ind w:right="1076"/>
        <w:jc w:val="both"/>
      </w:pPr>
      <w:r>
        <w:t>To provide the council with the potential to exert strategic influence in respect of major policy objectives and place making.</w:t>
      </w:r>
    </w:p>
    <w:p w14:paraId="7FA0AD69" w14:textId="77777777" w:rsidR="00C6445E" w:rsidRDefault="00C6445E" w:rsidP="00402B7E">
      <w:pPr>
        <w:pStyle w:val="ListParagraph"/>
      </w:pPr>
      <w:r>
        <w:t xml:space="preserve">JLL has subsequently made a number of recommendations to support a short to medium term strategy. </w:t>
      </w:r>
    </w:p>
    <w:p w14:paraId="52297F51" w14:textId="63B467BB" w:rsidR="00C6445E" w:rsidRDefault="00C6445E" w:rsidP="00402B7E">
      <w:pPr>
        <w:pStyle w:val="ListParagraph"/>
      </w:pPr>
      <w:r>
        <w:lastRenderedPageBreak/>
        <w:t>The</w:t>
      </w:r>
      <w:r w:rsidR="00132EE9">
        <w:t xml:space="preserve"> review has highlighted several r</w:t>
      </w:r>
      <w:r>
        <w:t>isks and opportunities for the c</w:t>
      </w:r>
      <w:r w:rsidR="00132EE9">
        <w:t xml:space="preserve">ouncil. </w:t>
      </w:r>
      <w:r w:rsidR="0065407D">
        <w:t>T</w:t>
      </w:r>
      <w:r w:rsidR="00060514">
        <w:t>he full</w:t>
      </w:r>
      <w:r w:rsidR="00132EE9">
        <w:t xml:space="preserve"> </w:t>
      </w:r>
      <w:r>
        <w:t>report</w:t>
      </w:r>
      <w:r w:rsidR="0065407D">
        <w:t xml:space="preserve"> </w:t>
      </w:r>
      <w:r>
        <w:t xml:space="preserve">is attached at confidential </w:t>
      </w:r>
      <w:r w:rsidR="003962CC">
        <w:t>A</w:t>
      </w:r>
      <w:r w:rsidR="00132EE9">
        <w:t xml:space="preserve">ppendix </w:t>
      </w:r>
      <w:r w:rsidR="000C1921">
        <w:t>3</w:t>
      </w:r>
      <w:r>
        <w:t>.</w:t>
      </w:r>
    </w:p>
    <w:p w14:paraId="1149C8C6" w14:textId="116B2061" w:rsidR="00132EE9" w:rsidRPr="00402B7E" w:rsidRDefault="004E65BB" w:rsidP="00402B7E">
      <w:pPr>
        <w:rPr>
          <w:b/>
        </w:rPr>
      </w:pPr>
      <w:r>
        <w:rPr>
          <w:b/>
        </w:rPr>
        <w:t>K</w:t>
      </w:r>
      <w:r w:rsidR="00132EE9" w:rsidRPr="00402B7E">
        <w:rPr>
          <w:b/>
        </w:rPr>
        <w:t xml:space="preserve">ey findings </w:t>
      </w:r>
    </w:p>
    <w:p w14:paraId="73F4FD38" w14:textId="55C5F570" w:rsidR="0018553A" w:rsidRDefault="00121FDA" w:rsidP="00402B7E">
      <w:pPr>
        <w:pStyle w:val="ListParagraph"/>
      </w:pPr>
      <w:r>
        <w:t xml:space="preserve">The overall investment portfolio provides a solid platform from which a large proportion </w:t>
      </w:r>
      <w:r w:rsidR="006508E7">
        <w:t>(</w:t>
      </w:r>
      <w:r w:rsidR="008633E5">
        <w:t xml:space="preserve">40%) </w:t>
      </w:r>
      <w:r>
        <w:t>of the income is secured against long term leases or ground rents</w:t>
      </w:r>
      <w:r w:rsidR="00FC4A23">
        <w:t xml:space="preserve">. </w:t>
      </w:r>
    </w:p>
    <w:p w14:paraId="05930514" w14:textId="77777777" w:rsidR="00121FDA" w:rsidRDefault="00121FDA" w:rsidP="00402B7E">
      <w:pPr>
        <w:pStyle w:val="ListParagraph"/>
      </w:pPr>
      <w:r>
        <w:t>The portfolio is heavi</w:t>
      </w:r>
      <w:r w:rsidR="00FC4A23">
        <w:t>ly exposed to one sector with 81</w:t>
      </w:r>
      <w:r>
        <w:t xml:space="preserve">% of the capital invested in retail </w:t>
      </w:r>
      <w:r w:rsidR="00FC4A23">
        <w:t>properties.</w:t>
      </w:r>
      <w:r>
        <w:t xml:space="preserve"> This imbalance provides a high degree of risk and exposure to</w:t>
      </w:r>
      <w:r w:rsidR="008633E5">
        <w:t xml:space="preserve"> </w:t>
      </w:r>
      <w:r w:rsidR="00FC4A23">
        <w:t>increased rental voids</w:t>
      </w:r>
      <w:r>
        <w:t xml:space="preserve"> and</w:t>
      </w:r>
      <w:r w:rsidR="00FC4A23">
        <w:t xml:space="preserve"> negative </w:t>
      </w:r>
      <w:r w:rsidR="008633E5">
        <w:t xml:space="preserve">revenue </w:t>
      </w:r>
      <w:r>
        <w:t>growth over the short to medium term</w:t>
      </w:r>
      <w:r w:rsidR="00FC4A23">
        <w:t>.</w:t>
      </w:r>
    </w:p>
    <w:p w14:paraId="74369546" w14:textId="436105E3" w:rsidR="00121FDA" w:rsidRDefault="00FC4A23" w:rsidP="00402B7E">
      <w:pPr>
        <w:pStyle w:val="ListParagraph"/>
      </w:pPr>
      <w:r>
        <w:t>The p</w:t>
      </w:r>
      <w:r w:rsidR="0006253B">
        <w:t xml:space="preserve">ortfolio </w:t>
      </w:r>
      <w:r w:rsidR="008749B6">
        <w:t xml:space="preserve">structure </w:t>
      </w:r>
      <w:r w:rsidR="0006253B">
        <w:t xml:space="preserve">is highly granular with </w:t>
      </w:r>
      <w:r w:rsidR="008749B6">
        <w:t xml:space="preserve">246 properties generating a rent of £11.3m p.a. </w:t>
      </w:r>
      <w:r w:rsidR="00162926">
        <w:t xml:space="preserve">(April 2016).  </w:t>
      </w:r>
      <w:r w:rsidR="008749B6">
        <w:t>Two of these properties account for 3</w:t>
      </w:r>
      <w:r>
        <w:t>1.88% of the income.</w:t>
      </w:r>
    </w:p>
    <w:p w14:paraId="6D09836E" w14:textId="77777777" w:rsidR="008749B6" w:rsidRDefault="008749B6" w:rsidP="00402B7E">
      <w:pPr>
        <w:pStyle w:val="ListParagraph"/>
      </w:pPr>
      <w:r>
        <w:t xml:space="preserve">Just 18.07% of the income is derived from 182 tenants (70%) making the portfolio </w:t>
      </w:r>
      <w:r w:rsidR="008633E5">
        <w:t xml:space="preserve">highly </w:t>
      </w:r>
      <w:r>
        <w:t>management intensive</w:t>
      </w:r>
      <w:r w:rsidR="0069779D">
        <w:t>.</w:t>
      </w:r>
    </w:p>
    <w:p w14:paraId="21040D79" w14:textId="77777777" w:rsidR="00D4346D" w:rsidRDefault="00D4346D" w:rsidP="00402B7E">
      <w:pPr>
        <w:pStyle w:val="ListParagraph"/>
      </w:pPr>
      <w:r>
        <w:t>To reduce risk and generate long term rental growth it will be necessary to reduce the exposure to retail and diversify the capital distribution into other property sectors.</w:t>
      </w:r>
      <w:r w:rsidR="009362E1">
        <w:t xml:space="preserve"> Dependent on market opportunities</w:t>
      </w:r>
      <w:r>
        <w:t xml:space="preserve"> this strategy can be designed to invest in employment uses such industrial and offices in Oxfordshire and the surrounding counties.</w:t>
      </w:r>
    </w:p>
    <w:p w14:paraId="119E04F4" w14:textId="286F737A" w:rsidR="0018553A" w:rsidRDefault="00324E17" w:rsidP="00402B7E">
      <w:pPr>
        <w:pStyle w:val="ListParagraph"/>
      </w:pPr>
      <w:r>
        <w:t>The portfolio has historically had the benefit of being relatively shielded from the national economic fluctuations and trends within the retail sector.  However</w:t>
      </w:r>
      <w:r w:rsidR="0029101D">
        <w:t>,</w:t>
      </w:r>
      <w:r>
        <w:t xml:space="preserve"> it is clear that the retail sector is undergoing a </w:t>
      </w:r>
      <w:r w:rsidR="0069725A">
        <w:t>period of significant change</w:t>
      </w:r>
      <w:r w:rsidR="0029101D">
        <w:t xml:space="preserve">, including </w:t>
      </w:r>
      <w:r w:rsidR="0069725A">
        <w:t xml:space="preserve">a </w:t>
      </w:r>
      <w:r w:rsidR="0029101D">
        <w:t xml:space="preserve">move to more on-line retailing, which is making retail </w:t>
      </w:r>
      <w:r>
        <w:t>real estate</w:t>
      </w:r>
      <w:r w:rsidR="0029101D">
        <w:t xml:space="preserve"> less secure</w:t>
      </w:r>
      <w:r>
        <w:t xml:space="preserve">. </w:t>
      </w:r>
    </w:p>
    <w:p w14:paraId="259F0B08" w14:textId="77777777" w:rsidR="0029101D" w:rsidRDefault="0029101D" w:rsidP="00402B7E">
      <w:pPr>
        <w:pStyle w:val="ListParagraph"/>
      </w:pPr>
      <w:r>
        <w:t xml:space="preserve">The council has the option of selling parts of its retail portfolio to balance this risk. However, it also has the opportunity to expand its portfolio into other sectors, which should bring in additional income, while also diversifying the portfolio away from a concentration on retail uses and therefore mitigating </w:t>
      </w:r>
      <w:r w:rsidR="00B70ED9">
        <w:t xml:space="preserve">its risks. </w:t>
      </w:r>
    </w:p>
    <w:p w14:paraId="0B3570A3" w14:textId="5D0C713F" w:rsidR="00B60951" w:rsidRPr="008D28D4" w:rsidRDefault="006D51E8">
      <w:pPr>
        <w:pStyle w:val="ListParagraph"/>
      </w:pPr>
      <w:r>
        <w:t>JLL has made a number of suggestions and recommendations to address these key findings.</w:t>
      </w:r>
      <w:r w:rsidR="00B60951">
        <w:t xml:space="preserve"> </w:t>
      </w:r>
      <w:r w:rsidR="0069725A">
        <w:t xml:space="preserve">As </w:t>
      </w:r>
      <w:proofErr w:type="gramStart"/>
      <w:r w:rsidR="0069725A">
        <w:t>these recommendation focus</w:t>
      </w:r>
      <w:proofErr w:type="gramEnd"/>
      <w:r w:rsidR="0069725A">
        <w:t xml:space="preserve"> on a range of </w:t>
      </w:r>
      <w:r w:rsidR="00B60951">
        <w:t xml:space="preserve">commercially sensitive </w:t>
      </w:r>
      <w:r w:rsidR="0069725A">
        <w:t xml:space="preserve">investment decisions, they are set out in the </w:t>
      </w:r>
      <w:r w:rsidR="00B60951">
        <w:t xml:space="preserve">confidential </w:t>
      </w:r>
      <w:r w:rsidR="000C1921">
        <w:t>Appendix 1</w:t>
      </w:r>
      <w:r w:rsidR="00B60951" w:rsidRPr="008D28D4">
        <w:t xml:space="preserve"> </w:t>
      </w:r>
      <w:r w:rsidR="0069725A">
        <w:t xml:space="preserve">to this </w:t>
      </w:r>
      <w:r w:rsidR="00B60951" w:rsidRPr="008D28D4">
        <w:t>report</w:t>
      </w:r>
      <w:r w:rsidR="0069725A">
        <w:t>. This include</w:t>
      </w:r>
      <w:r w:rsidR="00402B7E">
        <w:t>s</w:t>
      </w:r>
      <w:r w:rsidR="0069725A">
        <w:t xml:space="preserve"> the detail of the proposed future</w:t>
      </w:r>
      <w:r w:rsidR="00B60951" w:rsidRPr="008D28D4">
        <w:t xml:space="preserve"> investment strategy to mitigate </w:t>
      </w:r>
      <w:r w:rsidR="00B60951">
        <w:t xml:space="preserve">identified </w:t>
      </w:r>
      <w:r w:rsidR="00B60951" w:rsidRPr="008D28D4">
        <w:t xml:space="preserve">risks </w:t>
      </w:r>
      <w:r w:rsidR="0069725A">
        <w:t xml:space="preserve">that should help to </w:t>
      </w:r>
      <w:r w:rsidR="00B60951" w:rsidRPr="008D28D4">
        <w:t xml:space="preserve">ensure the </w:t>
      </w:r>
      <w:r w:rsidR="0069725A">
        <w:t xml:space="preserve">continued </w:t>
      </w:r>
      <w:r w:rsidR="00B60951" w:rsidRPr="008D28D4">
        <w:t>fu</w:t>
      </w:r>
      <w:r w:rsidR="0069725A">
        <w:t>ture success of the portfolio</w:t>
      </w:r>
      <w:r w:rsidR="00B60951" w:rsidRPr="008D28D4">
        <w:t>.</w:t>
      </w:r>
    </w:p>
    <w:p w14:paraId="116F2947" w14:textId="77777777" w:rsidR="00B60951" w:rsidRPr="002B6836" w:rsidRDefault="00B60951" w:rsidP="00B60951">
      <w:pPr>
        <w:pStyle w:val="Heading1"/>
      </w:pPr>
      <w:r w:rsidRPr="002B6836">
        <w:t>Financial implications</w:t>
      </w:r>
    </w:p>
    <w:p w14:paraId="4A5EF400" w14:textId="08CB3FAB" w:rsidR="00B60951" w:rsidRDefault="00B60951" w:rsidP="00402B7E">
      <w:pPr>
        <w:pStyle w:val="ListParagraph"/>
        <w:numPr>
          <w:ilvl w:val="0"/>
          <w:numId w:val="57"/>
        </w:numPr>
        <w:ind w:left="426" w:hanging="426"/>
        <w:rPr>
          <w:rStyle w:val="bParagraphtextChar"/>
        </w:rPr>
      </w:pPr>
      <w:r>
        <w:rPr>
          <w:rStyle w:val="bParagraphtextChar"/>
        </w:rPr>
        <w:t xml:space="preserve">These are set out in the confidential </w:t>
      </w:r>
      <w:r w:rsidR="009E3220">
        <w:rPr>
          <w:rStyle w:val="bParagraphtextChar"/>
        </w:rPr>
        <w:t>Appendix 1</w:t>
      </w:r>
      <w:r>
        <w:rPr>
          <w:rStyle w:val="bParagraphtextChar"/>
        </w:rPr>
        <w:t xml:space="preserve"> to this report. </w:t>
      </w:r>
    </w:p>
    <w:p w14:paraId="45802CC7" w14:textId="37C36FFB" w:rsidR="00B60951" w:rsidRPr="00B60951" w:rsidRDefault="00B60951" w:rsidP="00402B7E">
      <w:r w:rsidRPr="00B60951">
        <w:rPr>
          <w:b/>
        </w:rPr>
        <w:t>Legal issues</w:t>
      </w:r>
    </w:p>
    <w:p w14:paraId="571BB25D" w14:textId="1AD8703C" w:rsidR="00B60951" w:rsidRDefault="00B60951" w:rsidP="00B60951">
      <w:pPr>
        <w:pStyle w:val="ListParagraph"/>
        <w:numPr>
          <w:ilvl w:val="0"/>
          <w:numId w:val="57"/>
        </w:numPr>
        <w:ind w:left="426" w:hanging="426"/>
        <w:rPr>
          <w:rStyle w:val="bParagraphtextChar"/>
        </w:rPr>
      </w:pPr>
      <w:r>
        <w:rPr>
          <w:rStyle w:val="bParagraphtextChar"/>
        </w:rPr>
        <w:t xml:space="preserve">These are set out in the confidential </w:t>
      </w:r>
      <w:r w:rsidR="009E3220">
        <w:rPr>
          <w:rStyle w:val="bParagraphtextChar"/>
        </w:rPr>
        <w:t xml:space="preserve">Appendix 1 </w:t>
      </w:r>
      <w:r>
        <w:rPr>
          <w:rStyle w:val="bParagraphtextChar"/>
        </w:rPr>
        <w:t xml:space="preserve">to this report. </w:t>
      </w:r>
    </w:p>
    <w:p w14:paraId="540DFF79" w14:textId="77777777" w:rsidR="00B60951" w:rsidRPr="001356F1" w:rsidRDefault="00B60951" w:rsidP="00B60951">
      <w:pPr>
        <w:pStyle w:val="Heading1"/>
      </w:pPr>
      <w:r w:rsidRPr="001356F1">
        <w:t>Level of risk</w:t>
      </w:r>
    </w:p>
    <w:p w14:paraId="380EA4F1" w14:textId="74CC2C4E" w:rsidR="00B60951" w:rsidRPr="002B6836" w:rsidRDefault="00B60951" w:rsidP="00B60951">
      <w:pPr>
        <w:pStyle w:val="bParagraphtext"/>
        <w:numPr>
          <w:ilvl w:val="0"/>
          <w:numId w:val="57"/>
        </w:numPr>
        <w:ind w:left="426" w:hanging="426"/>
      </w:pPr>
      <w:r>
        <w:t xml:space="preserve">Further discussion on risk management and mitigation is set out in the confidential </w:t>
      </w:r>
      <w:r w:rsidR="009E3220">
        <w:t>Appendix 1</w:t>
      </w:r>
      <w:r>
        <w:t xml:space="preserve"> to this report.  </w:t>
      </w:r>
      <w:r w:rsidR="009E3220">
        <w:t>A confidential risk register is attached as Appendix 3 to this document.</w:t>
      </w:r>
    </w:p>
    <w:p w14:paraId="24DA7F2E" w14:textId="77777777" w:rsidR="00B60951" w:rsidRPr="001356F1" w:rsidRDefault="00B60951" w:rsidP="00B60951">
      <w:pPr>
        <w:pStyle w:val="Heading1"/>
      </w:pPr>
      <w:r w:rsidRPr="001356F1">
        <w:t xml:space="preserve">Equalities impact </w:t>
      </w:r>
    </w:p>
    <w:p w14:paraId="0939D7FB" w14:textId="6D9D6DE2" w:rsidR="00B60951" w:rsidRDefault="00D35AFA" w:rsidP="00D35AFA">
      <w:pPr>
        <w:pStyle w:val="ListParagraph"/>
      </w:pPr>
      <w:r>
        <w:t xml:space="preserve">This is an investment property strategy and equalities impact is not </w:t>
      </w:r>
      <w:r w:rsidR="009E3220">
        <w:t xml:space="preserve">relevant. </w:t>
      </w:r>
    </w:p>
    <w:p w14:paraId="452D149A" w14:textId="77777777" w:rsidR="00A304AE" w:rsidRDefault="00A304AE" w:rsidP="00A304AE">
      <w:pPr>
        <w:pStyle w:val="ListParagraph"/>
        <w:numPr>
          <w:ilvl w:val="0"/>
          <w:numId w:val="0"/>
        </w:numPr>
        <w:ind w:left="360"/>
      </w:pPr>
    </w:p>
    <w:p w14:paraId="5736080B" w14:textId="77777777" w:rsidR="00A47BC3" w:rsidRDefault="00A47BC3" w:rsidP="00A304AE">
      <w:pPr>
        <w:pStyle w:val="ListParagraph"/>
        <w:numPr>
          <w:ilvl w:val="0"/>
          <w:numId w:val="0"/>
        </w:numPr>
        <w:ind w:left="360"/>
      </w:pPr>
    </w:p>
    <w:p w14:paraId="6D7C20A0" w14:textId="77777777" w:rsidR="00A304AE" w:rsidRPr="002C323F" w:rsidRDefault="00A304AE" w:rsidP="00A304AE">
      <w:pPr>
        <w:pStyle w:val="ListParagraph"/>
        <w:numPr>
          <w:ilvl w:val="0"/>
          <w:numId w:val="0"/>
        </w:numPr>
        <w:ind w:left="36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60951" w:rsidRPr="002C323F" w14:paraId="36BFE1B5" w14:textId="77777777" w:rsidTr="008D28D4">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B1F6CF0" w14:textId="77777777" w:rsidR="00B60951" w:rsidRPr="002C323F" w:rsidRDefault="00B60951" w:rsidP="008D28D4">
            <w:pPr>
              <w:rPr>
                <w:b/>
              </w:rPr>
            </w:pPr>
            <w:r w:rsidRPr="002C323F">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FA2E1DE" w14:textId="77777777" w:rsidR="00B60951" w:rsidRPr="002C323F" w:rsidRDefault="00B60951" w:rsidP="008D28D4">
            <w:r w:rsidRPr="002C323F">
              <w:t xml:space="preserve">Nick </w:t>
            </w:r>
            <w:proofErr w:type="spellStart"/>
            <w:r w:rsidRPr="002C323F">
              <w:t>Twigg</w:t>
            </w:r>
            <w:proofErr w:type="spellEnd"/>
          </w:p>
        </w:tc>
      </w:tr>
      <w:tr w:rsidR="00B60951" w:rsidRPr="002C323F" w14:paraId="212B2DE0" w14:textId="77777777" w:rsidTr="008D28D4">
        <w:trPr>
          <w:cantSplit/>
          <w:trHeight w:val="396"/>
        </w:trPr>
        <w:tc>
          <w:tcPr>
            <w:tcW w:w="3969" w:type="dxa"/>
            <w:tcBorders>
              <w:top w:val="single" w:sz="8" w:space="0" w:color="000000"/>
              <w:left w:val="single" w:sz="8" w:space="0" w:color="000000"/>
              <w:bottom w:val="nil"/>
              <w:right w:val="nil"/>
            </w:tcBorders>
            <w:shd w:val="clear" w:color="auto" w:fill="auto"/>
          </w:tcPr>
          <w:p w14:paraId="7A42B158" w14:textId="77777777" w:rsidR="00B60951" w:rsidRPr="002C323F" w:rsidRDefault="00B60951" w:rsidP="008D28D4">
            <w:r w:rsidRPr="002C323F">
              <w:t>Job title</w:t>
            </w:r>
          </w:p>
        </w:tc>
        <w:tc>
          <w:tcPr>
            <w:tcW w:w="4962" w:type="dxa"/>
            <w:tcBorders>
              <w:top w:val="single" w:sz="8" w:space="0" w:color="000000"/>
              <w:left w:val="nil"/>
              <w:bottom w:val="nil"/>
              <w:right w:val="single" w:sz="8" w:space="0" w:color="000000"/>
            </w:tcBorders>
            <w:shd w:val="clear" w:color="auto" w:fill="auto"/>
          </w:tcPr>
          <w:p w14:paraId="6B9A7FF1" w14:textId="77777777" w:rsidR="00B60951" w:rsidRPr="002C323F" w:rsidRDefault="00B60951" w:rsidP="008D28D4">
            <w:r w:rsidRPr="002C323F">
              <w:t>Major Projects and Development Manager</w:t>
            </w:r>
          </w:p>
        </w:tc>
      </w:tr>
      <w:tr w:rsidR="00B60951" w:rsidRPr="002C323F" w14:paraId="60D6BE29" w14:textId="77777777" w:rsidTr="008D28D4">
        <w:trPr>
          <w:cantSplit/>
          <w:trHeight w:val="396"/>
        </w:trPr>
        <w:tc>
          <w:tcPr>
            <w:tcW w:w="3969" w:type="dxa"/>
            <w:tcBorders>
              <w:top w:val="nil"/>
              <w:left w:val="single" w:sz="8" w:space="0" w:color="000000"/>
              <w:bottom w:val="nil"/>
              <w:right w:val="nil"/>
            </w:tcBorders>
            <w:shd w:val="clear" w:color="auto" w:fill="auto"/>
          </w:tcPr>
          <w:p w14:paraId="108B9E74" w14:textId="77777777" w:rsidR="00B60951" w:rsidRPr="002C323F" w:rsidRDefault="00B60951" w:rsidP="008D28D4">
            <w:r w:rsidRPr="002C323F">
              <w:t>Service area or department</w:t>
            </w:r>
          </w:p>
        </w:tc>
        <w:tc>
          <w:tcPr>
            <w:tcW w:w="4962" w:type="dxa"/>
            <w:tcBorders>
              <w:top w:val="nil"/>
              <w:left w:val="nil"/>
              <w:bottom w:val="nil"/>
              <w:right w:val="single" w:sz="8" w:space="0" w:color="000000"/>
            </w:tcBorders>
            <w:shd w:val="clear" w:color="auto" w:fill="auto"/>
          </w:tcPr>
          <w:p w14:paraId="574A84D5" w14:textId="77777777" w:rsidR="00B60951" w:rsidRPr="002C323F" w:rsidRDefault="00B60951" w:rsidP="008D28D4">
            <w:r w:rsidRPr="002C323F">
              <w:t>Regeneration and Major Projects</w:t>
            </w:r>
          </w:p>
        </w:tc>
      </w:tr>
      <w:tr w:rsidR="00B60951" w:rsidRPr="002C323F" w14:paraId="1DE74714" w14:textId="77777777" w:rsidTr="008D28D4">
        <w:trPr>
          <w:cantSplit/>
          <w:trHeight w:val="396"/>
        </w:trPr>
        <w:tc>
          <w:tcPr>
            <w:tcW w:w="3969" w:type="dxa"/>
            <w:tcBorders>
              <w:top w:val="nil"/>
              <w:left w:val="single" w:sz="8" w:space="0" w:color="000000"/>
              <w:bottom w:val="nil"/>
              <w:right w:val="nil"/>
            </w:tcBorders>
            <w:shd w:val="clear" w:color="auto" w:fill="auto"/>
          </w:tcPr>
          <w:p w14:paraId="294A227B" w14:textId="77777777" w:rsidR="00B60951" w:rsidRPr="002C323F" w:rsidRDefault="00B60951" w:rsidP="008D28D4">
            <w:r w:rsidRPr="002C323F">
              <w:t xml:space="preserve">Telephone </w:t>
            </w:r>
          </w:p>
        </w:tc>
        <w:tc>
          <w:tcPr>
            <w:tcW w:w="4962" w:type="dxa"/>
            <w:tcBorders>
              <w:top w:val="nil"/>
              <w:left w:val="nil"/>
              <w:bottom w:val="nil"/>
              <w:right w:val="single" w:sz="8" w:space="0" w:color="000000"/>
            </w:tcBorders>
            <w:shd w:val="clear" w:color="auto" w:fill="auto"/>
          </w:tcPr>
          <w:p w14:paraId="1C199EA1" w14:textId="77777777" w:rsidR="00B60951" w:rsidRPr="002C323F" w:rsidRDefault="00B60951" w:rsidP="008D28D4">
            <w:r w:rsidRPr="002C323F">
              <w:t xml:space="preserve">01865 252294 </w:t>
            </w:r>
          </w:p>
        </w:tc>
      </w:tr>
      <w:tr w:rsidR="00B60951" w:rsidRPr="002C323F" w14:paraId="2CBA28E9" w14:textId="77777777" w:rsidTr="008D28D4">
        <w:trPr>
          <w:cantSplit/>
          <w:trHeight w:val="396"/>
        </w:trPr>
        <w:tc>
          <w:tcPr>
            <w:tcW w:w="3969" w:type="dxa"/>
            <w:tcBorders>
              <w:top w:val="nil"/>
              <w:left w:val="single" w:sz="8" w:space="0" w:color="000000"/>
              <w:bottom w:val="single" w:sz="8" w:space="0" w:color="000000"/>
              <w:right w:val="nil"/>
            </w:tcBorders>
            <w:shd w:val="clear" w:color="auto" w:fill="auto"/>
          </w:tcPr>
          <w:p w14:paraId="4C9E93C5" w14:textId="77777777" w:rsidR="00B60951" w:rsidRPr="002C323F" w:rsidRDefault="00B60951" w:rsidP="008D28D4">
            <w:r w:rsidRPr="002C323F">
              <w:t xml:space="preserve">e-mail </w:t>
            </w:r>
          </w:p>
        </w:tc>
        <w:tc>
          <w:tcPr>
            <w:tcW w:w="4962" w:type="dxa"/>
            <w:tcBorders>
              <w:top w:val="nil"/>
              <w:left w:val="nil"/>
              <w:bottom w:val="single" w:sz="8" w:space="0" w:color="000000"/>
              <w:right w:val="single" w:sz="8" w:space="0" w:color="000000"/>
            </w:tcBorders>
            <w:shd w:val="clear" w:color="auto" w:fill="auto"/>
          </w:tcPr>
          <w:p w14:paraId="7A97CDAC" w14:textId="77777777" w:rsidR="00B60951" w:rsidRPr="002C323F" w:rsidRDefault="00B60951" w:rsidP="008D28D4">
            <w:pPr>
              <w:rPr>
                <w:u w:val="single"/>
              </w:rPr>
            </w:pPr>
            <w:r w:rsidRPr="002C323F">
              <w:rPr>
                <w:u w:val="single"/>
              </w:rPr>
              <w:t>ntwigg@oxford.gov.uk</w:t>
            </w:r>
          </w:p>
        </w:tc>
      </w:tr>
    </w:tbl>
    <w:p w14:paraId="7CC03BFF" w14:textId="77777777" w:rsidR="00B60951" w:rsidRPr="002C323F" w:rsidRDefault="00B60951" w:rsidP="00B609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60951" w:rsidRPr="002C323F" w14:paraId="7949266F" w14:textId="77777777" w:rsidTr="008D28D4">
        <w:tc>
          <w:tcPr>
            <w:tcW w:w="8931" w:type="dxa"/>
            <w:tcBorders>
              <w:top w:val="single" w:sz="4" w:space="0" w:color="auto"/>
              <w:left w:val="single" w:sz="4" w:space="0" w:color="auto"/>
              <w:bottom w:val="single" w:sz="8" w:space="0" w:color="000000"/>
              <w:right w:val="single" w:sz="4" w:space="0" w:color="auto"/>
            </w:tcBorders>
            <w:shd w:val="clear" w:color="auto" w:fill="auto"/>
          </w:tcPr>
          <w:p w14:paraId="75CA9F2B" w14:textId="77777777" w:rsidR="00B60951" w:rsidRPr="002C323F" w:rsidRDefault="00B60951" w:rsidP="008D28D4">
            <w:r w:rsidRPr="002C323F">
              <w:rPr>
                <w:b/>
              </w:rPr>
              <w:t xml:space="preserve">Background Papers: </w:t>
            </w:r>
            <w:r w:rsidRPr="002C323F">
              <w:t>None</w:t>
            </w:r>
          </w:p>
        </w:tc>
      </w:tr>
    </w:tbl>
    <w:p w14:paraId="15AF7633" w14:textId="77777777" w:rsidR="00B60951" w:rsidRDefault="00B60951" w:rsidP="00B60951">
      <w:pPr>
        <w:rPr>
          <w:b/>
        </w:rPr>
      </w:pPr>
    </w:p>
    <w:sectPr w:rsidR="00B60951" w:rsidSect="00693E08">
      <w:footerReference w:type="even" r:id="rId12"/>
      <w:footerReference w:type="default" r:id="rId13"/>
      <w:headerReference w:type="first" r:id="rId14"/>
      <w:footerReference w:type="first" r:id="rId15"/>
      <w:pgSz w:w="11907" w:h="16839" w:code="9"/>
      <w:pgMar w:top="510" w:right="1021" w:bottom="227"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44D54" w14:textId="77777777" w:rsidR="00131081" w:rsidRDefault="00131081" w:rsidP="004A6D2F">
      <w:r>
        <w:separator/>
      </w:r>
    </w:p>
  </w:endnote>
  <w:endnote w:type="continuationSeparator" w:id="0">
    <w:p w14:paraId="424562E7" w14:textId="77777777" w:rsidR="00131081" w:rsidRDefault="0013108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urce Sans Pro Light">
    <w:altName w:val="Corbel"/>
    <w:charset w:val="00"/>
    <w:family w:val="swiss"/>
    <w:pitch w:val="variable"/>
    <w:sig w:usb0="20000007" w:usb1="00000001" w:usb2="00000000" w:usb3="00000000" w:csb0="00000193" w:csb1="00000000"/>
  </w:font>
  <w:font w:name="Source Sans Pro Semibold">
    <w:altName w:val="Corbel"/>
    <w:charset w:val="00"/>
    <w:family w:val="swiss"/>
    <w:pitch w:val="variable"/>
    <w:sig w:usb0="00000001" w:usb1="00000001" w:usb2="00000000" w:usb3="00000000" w:csb0="00000193" w:csb1="00000000"/>
  </w:font>
  <w:font w:name="Source Sans Pro">
    <w:altName w:val="Corbel"/>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8FAD8" w14:textId="77777777" w:rsidR="006138D8" w:rsidRDefault="006138D8" w:rsidP="004A6D2F">
    <w:pPr>
      <w:pStyle w:val="Footer"/>
    </w:pPr>
    <w:r>
      <w:t>Do not use a footer or page numbers.</w:t>
    </w:r>
  </w:p>
  <w:p w14:paraId="604C0044" w14:textId="77777777" w:rsidR="006138D8" w:rsidRDefault="006138D8" w:rsidP="004A6D2F">
    <w:pPr>
      <w:pStyle w:val="Footer"/>
    </w:pPr>
  </w:p>
  <w:p w14:paraId="5EB31BB3" w14:textId="77777777" w:rsidR="006138D8" w:rsidRDefault="006138D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910929"/>
      <w:docPartObj>
        <w:docPartGallery w:val="Page Numbers (Bottom of Page)"/>
        <w:docPartUnique/>
      </w:docPartObj>
    </w:sdtPr>
    <w:sdtEndPr>
      <w:rPr>
        <w:noProof/>
      </w:rPr>
    </w:sdtEndPr>
    <w:sdtContent>
      <w:p w14:paraId="18E22BFA" w14:textId="77777777" w:rsidR="006138D8" w:rsidRDefault="006138D8">
        <w:pPr>
          <w:pStyle w:val="Footer"/>
          <w:jc w:val="right"/>
        </w:pPr>
        <w:r>
          <w:fldChar w:fldCharType="begin"/>
        </w:r>
        <w:r>
          <w:instrText xml:space="preserve"> PAGE   \* MERGEFORMAT </w:instrText>
        </w:r>
        <w:r>
          <w:fldChar w:fldCharType="separate"/>
        </w:r>
        <w:r w:rsidR="001F79BA">
          <w:rPr>
            <w:noProof/>
          </w:rPr>
          <w:t>4</w:t>
        </w:r>
        <w:r>
          <w:rPr>
            <w:noProof/>
          </w:rPr>
          <w:fldChar w:fldCharType="end"/>
        </w:r>
      </w:p>
    </w:sdtContent>
  </w:sdt>
  <w:p w14:paraId="37BDC6C0" w14:textId="77777777" w:rsidR="006138D8" w:rsidRDefault="00613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280888"/>
      <w:docPartObj>
        <w:docPartGallery w:val="Page Numbers (Bottom of Page)"/>
        <w:docPartUnique/>
      </w:docPartObj>
    </w:sdtPr>
    <w:sdtEndPr>
      <w:rPr>
        <w:noProof/>
      </w:rPr>
    </w:sdtEndPr>
    <w:sdtContent>
      <w:p w14:paraId="0C669F34" w14:textId="77777777" w:rsidR="006138D8" w:rsidRDefault="006138D8">
        <w:pPr>
          <w:pStyle w:val="Footer"/>
          <w:jc w:val="right"/>
        </w:pPr>
        <w:r>
          <w:fldChar w:fldCharType="begin"/>
        </w:r>
        <w:r>
          <w:instrText xml:space="preserve"> PAGE   \* MERGEFORMAT </w:instrText>
        </w:r>
        <w:r>
          <w:fldChar w:fldCharType="separate"/>
        </w:r>
        <w:r w:rsidR="001F79BA">
          <w:rPr>
            <w:noProof/>
          </w:rPr>
          <w:t>1</w:t>
        </w:r>
        <w:r>
          <w:rPr>
            <w:noProof/>
          </w:rPr>
          <w:fldChar w:fldCharType="end"/>
        </w:r>
      </w:p>
    </w:sdtContent>
  </w:sdt>
  <w:p w14:paraId="57F63D8B" w14:textId="77777777" w:rsidR="006138D8" w:rsidRDefault="006138D8"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A7E82" w14:textId="77777777" w:rsidR="00131081" w:rsidRDefault="00131081" w:rsidP="004A6D2F">
      <w:r>
        <w:separator/>
      </w:r>
    </w:p>
  </w:footnote>
  <w:footnote w:type="continuationSeparator" w:id="0">
    <w:p w14:paraId="57EB7FBA" w14:textId="77777777" w:rsidR="00131081" w:rsidRDefault="0013108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EA543" w14:textId="77777777" w:rsidR="006138D8" w:rsidRDefault="006138D8" w:rsidP="00D5547E">
    <w:pPr>
      <w:pStyle w:val="Header"/>
      <w:jc w:val="right"/>
    </w:pPr>
    <w:r>
      <w:rPr>
        <w:noProof/>
      </w:rPr>
      <w:drawing>
        <wp:inline distT="0" distB="0" distL="0" distR="0" wp14:anchorId="1153F819" wp14:editId="5D61969F">
          <wp:extent cx="843280" cy="1117600"/>
          <wp:effectExtent l="0" t="0" r="0" b="635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w:eastAsia="Times New Roman" w:hAnsi="Arial"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D825E8"/>
    <w:multiLevelType w:val="hybridMultilevel"/>
    <w:tmpl w:val="796EE2C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B8408F"/>
    <w:multiLevelType w:val="hybridMultilevel"/>
    <w:tmpl w:val="FA80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927DA"/>
    <w:multiLevelType w:val="hybridMultilevel"/>
    <w:tmpl w:val="49603C32"/>
    <w:lvl w:ilvl="0" w:tplc="6A8CFC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265427"/>
    <w:multiLevelType w:val="hybridMultilevel"/>
    <w:tmpl w:val="2884924C"/>
    <w:lvl w:ilvl="0" w:tplc="08090005">
      <w:start w:val="1"/>
      <w:numFmt w:val="bullet"/>
      <w:lvlText w:val=""/>
      <w:lvlJc w:val="left"/>
      <w:pPr>
        <w:ind w:left="1400" w:hanging="360"/>
      </w:pPr>
      <w:rPr>
        <w:rFonts w:ascii="Wingdings" w:hAnsi="Wingdings"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nsid w:val="1E782694"/>
    <w:multiLevelType w:val="multilevel"/>
    <w:tmpl w:val="3050B9A6"/>
    <w:lvl w:ilvl="0">
      <w:start w:val="2"/>
      <w:numFmt w:val="decimal"/>
      <w:pStyle w:val="HeadingOneJLL"/>
      <w:lvlText w:val="%1."/>
      <w:lvlJc w:val="left"/>
      <w:pPr>
        <w:tabs>
          <w:tab w:val="num" w:pos="432"/>
        </w:tabs>
        <w:ind w:left="432" w:hanging="432"/>
      </w:pPr>
      <w:rPr>
        <w:rFonts w:hint="default"/>
      </w:rPr>
    </w:lvl>
    <w:lvl w:ilvl="1">
      <w:start w:val="1"/>
      <w:numFmt w:val="decimal"/>
      <w:pStyle w:val="HeadingTwoJLL"/>
      <w:lvlText w:val="%1.%2"/>
      <w:lvlJc w:val="left"/>
      <w:pPr>
        <w:tabs>
          <w:tab w:val="num" w:pos="432"/>
        </w:tabs>
        <w:ind w:left="432" w:hanging="432"/>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1EF25246"/>
    <w:multiLevelType w:val="hybridMultilevel"/>
    <w:tmpl w:val="4E3CB6F8"/>
    <w:lvl w:ilvl="0" w:tplc="3B9C5F9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020247"/>
    <w:multiLevelType w:val="hybridMultilevel"/>
    <w:tmpl w:val="FD460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750C19"/>
    <w:multiLevelType w:val="hybridMultilevel"/>
    <w:tmpl w:val="920438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FA2658"/>
    <w:multiLevelType w:val="hybridMultilevel"/>
    <w:tmpl w:val="759A1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305F47"/>
    <w:multiLevelType w:val="hybridMultilevel"/>
    <w:tmpl w:val="CF4C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A31D02"/>
    <w:multiLevelType w:val="hybridMultilevel"/>
    <w:tmpl w:val="1AAA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5E2065"/>
    <w:multiLevelType w:val="multilevel"/>
    <w:tmpl w:val="E28EEE84"/>
    <w:lvl w:ilvl="0">
      <w:start w:val="1"/>
      <w:numFmt w:val="decimal"/>
      <w:pStyle w:val="JLLHeadingOne"/>
      <w:lvlText w:val="%1"/>
      <w:lvlJc w:val="left"/>
      <w:pPr>
        <w:tabs>
          <w:tab w:val="num" w:pos="680"/>
        </w:tabs>
        <w:ind w:left="680" w:hanging="680"/>
      </w:pPr>
      <w:rPr>
        <w:rFonts w:asciiTheme="majorHAnsi" w:hAnsiTheme="majorHAnsi" w:cstheme="majorHAnsi" w:hint="default"/>
        <w:color w:val="BC141A"/>
        <w:sz w:val="44"/>
        <w:szCs w:val="36"/>
      </w:rPr>
    </w:lvl>
    <w:lvl w:ilvl="1">
      <w:start w:val="1"/>
      <w:numFmt w:val="decimal"/>
      <w:pStyle w:val="JLLHeadingTwo"/>
      <w:lvlText w:val="%1.%2"/>
      <w:lvlJc w:val="left"/>
      <w:pPr>
        <w:tabs>
          <w:tab w:val="num" w:pos="680"/>
        </w:tabs>
        <w:ind w:left="680" w:hanging="680"/>
      </w:pPr>
      <w:rPr>
        <w:rFonts w:ascii="Arial Narrow" w:hAnsi="Arial Narrow" w:hint="default"/>
        <w:color w:val="89898B"/>
        <w:sz w:val="22"/>
        <w:szCs w:val="22"/>
      </w:rPr>
    </w:lvl>
    <w:lvl w:ilvl="2">
      <w:start w:val="1"/>
      <w:numFmt w:val="decimal"/>
      <w:pStyle w:val="JLLHeadingThree"/>
      <w:lvlText w:val="%1.%2.%3"/>
      <w:lvlJc w:val="left"/>
      <w:pPr>
        <w:tabs>
          <w:tab w:val="num" w:pos="680"/>
        </w:tabs>
        <w:ind w:left="680" w:hanging="680"/>
      </w:pPr>
      <w:rPr>
        <w:rFonts w:ascii="Arial Narrow" w:hAnsi="Arial Narrow" w:hint="default"/>
        <w:b w:val="0"/>
        <w:i w:val="0"/>
        <w:sz w:val="22"/>
        <w:szCs w:val="22"/>
      </w:rPr>
    </w:lvl>
    <w:lvl w:ilvl="3">
      <w:start w:val="1"/>
      <w:numFmt w:val="decimal"/>
      <w:pStyle w:val="JLLHeadingFour"/>
      <w:lvlText w:val="%1.%2.%3.%4"/>
      <w:lvlJc w:val="left"/>
      <w:pPr>
        <w:tabs>
          <w:tab w:val="num" w:pos="680"/>
        </w:tabs>
        <w:ind w:left="680" w:hanging="680"/>
      </w:pPr>
      <w:rPr>
        <w:rFonts w:ascii="Arial Narrow" w:hAnsi="Arial Narrow" w:hint="default"/>
        <w:b w:val="0"/>
        <w:i w:val="0"/>
        <w:color w:val="000000" w:themeColor="text1"/>
        <w:sz w:val="22"/>
        <w:szCs w:val="22"/>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15">
    <w:nsid w:val="42AC7807"/>
    <w:multiLevelType w:val="hybridMultilevel"/>
    <w:tmpl w:val="46E41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F4967EB"/>
    <w:multiLevelType w:val="hybridMultilevel"/>
    <w:tmpl w:val="7F1CF7F4"/>
    <w:lvl w:ilvl="0" w:tplc="B3FC76B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50644E1D"/>
    <w:multiLevelType w:val="hybridMultilevel"/>
    <w:tmpl w:val="FB6CE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2BA721B"/>
    <w:multiLevelType w:val="hybridMultilevel"/>
    <w:tmpl w:val="6E8C840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nsid w:val="53594166"/>
    <w:multiLevelType w:val="hybridMultilevel"/>
    <w:tmpl w:val="61BA9602"/>
    <w:lvl w:ilvl="0" w:tplc="3AFE8E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5BA0ACF"/>
    <w:multiLevelType w:val="hybridMultilevel"/>
    <w:tmpl w:val="029EE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040E34"/>
    <w:multiLevelType w:val="hybridMultilevel"/>
    <w:tmpl w:val="FE56B5AA"/>
    <w:lvl w:ilvl="0" w:tplc="4C3E42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294837"/>
    <w:multiLevelType w:val="hybridMultilevel"/>
    <w:tmpl w:val="6A2C73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nsid w:val="5B3269CB"/>
    <w:multiLevelType w:val="hybridMultilevel"/>
    <w:tmpl w:val="99D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7E13F4"/>
    <w:multiLevelType w:val="hybridMultilevel"/>
    <w:tmpl w:val="7856008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5">
    <w:nsid w:val="5D751CA1"/>
    <w:multiLevelType w:val="hybridMultilevel"/>
    <w:tmpl w:val="45680770"/>
    <w:lvl w:ilvl="0" w:tplc="A3BCF6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E24128"/>
    <w:multiLevelType w:val="hybridMultilevel"/>
    <w:tmpl w:val="7F1CF7F4"/>
    <w:lvl w:ilvl="0" w:tplc="B3FC76B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7A126D"/>
    <w:multiLevelType w:val="hybridMultilevel"/>
    <w:tmpl w:val="28E66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8E537B1"/>
    <w:multiLevelType w:val="hybridMultilevel"/>
    <w:tmpl w:val="786E6E7A"/>
    <w:lvl w:ilvl="0" w:tplc="FE6E746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8365C6"/>
    <w:multiLevelType w:val="multilevel"/>
    <w:tmpl w:val="E67CE66C"/>
    <w:numStyleLink w:val="StyleNumberedLeft0cmHanging075cm"/>
  </w:abstractNum>
  <w:abstractNum w:abstractNumId="32">
    <w:nsid w:val="7D9F0FE6"/>
    <w:multiLevelType w:val="hybridMultilevel"/>
    <w:tmpl w:val="E9389832"/>
    <w:lvl w:ilvl="0" w:tplc="D1AEA9D2">
      <w:start w:val="1"/>
      <w:numFmt w:val="lowerLetter"/>
      <w:lvlText w:val="(%1)"/>
      <w:lvlJc w:val="left"/>
      <w:pPr>
        <w:ind w:left="720" w:hanging="360"/>
      </w:pPr>
      <w:rPr>
        <w:rFonts w:hint="default"/>
      </w:rPr>
    </w:lvl>
    <w:lvl w:ilvl="1" w:tplc="2666603A">
      <w:numFmt w:val="bullet"/>
      <w:lvlText w:val="•"/>
      <w:lvlJc w:val="left"/>
      <w:pPr>
        <w:ind w:left="2520" w:hanging="144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8"/>
  </w:num>
  <w:num w:numId="4">
    <w:abstractNumId w:val="1"/>
  </w:num>
  <w:num w:numId="5">
    <w:abstractNumId w:val="27"/>
  </w:num>
  <w:num w:numId="6">
    <w:abstractNumId w:val="7"/>
  </w:num>
  <w:num w:numId="7">
    <w:abstractNumId w:val="14"/>
  </w:num>
  <w:num w:numId="8">
    <w:abstractNumId w:val="6"/>
  </w:num>
  <w:num w:numId="9">
    <w:abstractNumId w:val="24"/>
  </w:num>
  <w:num w:numId="10">
    <w:abstractNumId w:val="26"/>
  </w:num>
  <w:num w:numId="11">
    <w:abstractNumId w:val="30"/>
  </w:num>
  <w:num w:numId="12">
    <w:abstractNumId w:val="16"/>
  </w:num>
  <w:num w:numId="13">
    <w:abstractNumId w:val="5"/>
  </w:num>
  <w:num w:numId="14">
    <w:abstractNumId w:val="19"/>
  </w:num>
  <w:num w:numId="15">
    <w:abstractNumId w:val="4"/>
  </w:num>
  <w:num w:numId="16">
    <w:abstractNumId w:val="13"/>
  </w:num>
  <w:num w:numId="17">
    <w:abstractNumId w:val="12"/>
  </w:num>
  <w:num w:numId="18">
    <w:abstractNumId w:val="23"/>
  </w:num>
  <w:num w:numId="19">
    <w:abstractNumId w:val="32"/>
  </w:num>
  <w:num w:numId="20">
    <w:abstractNumId w:val="3"/>
  </w:num>
  <w:num w:numId="21">
    <w:abstractNumId w:val="10"/>
  </w:num>
  <w:num w:numId="22">
    <w:abstractNumId w:val="18"/>
  </w:num>
  <w:num w:numId="23">
    <w:abstractNumId w:val="25"/>
  </w:num>
  <w:num w:numId="24">
    <w:abstractNumId w:val="22"/>
  </w:num>
  <w:num w:numId="25">
    <w:abstractNumId w:val="11"/>
  </w:num>
  <w:num w:numId="26">
    <w:abstractNumId w:val="2"/>
  </w:num>
  <w:num w:numId="27">
    <w:abstractNumId w:val="17"/>
  </w:num>
  <w:num w:numId="28">
    <w:abstractNumId w:val="15"/>
  </w:num>
  <w:num w:numId="29">
    <w:abstractNumId w:val="9"/>
  </w:num>
  <w:num w:numId="30">
    <w:abstractNumId w:val="29"/>
  </w:num>
  <w:num w:numId="31">
    <w:abstractNumId w:val="20"/>
  </w:num>
  <w:num w:numId="32">
    <w:abstractNumId w:val="21"/>
  </w:num>
  <w:num w:numId="33">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34">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35">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36">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37">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38">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39">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0">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1">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2">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3">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4">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5">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6">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7">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8">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49">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50">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51">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52">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53">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54">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55">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 w:numId="56">
    <w:abstractNumId w:val="28"/>
  </w:num>
  <w:num w:numId="57">
    <w:abstractNumId w:val="31"/>
  </w:num>
  <w:num w:numId="58">
    <w:abstractNumId w:val="31"/>
    <w:lvlOverride w:ilvl="0">
      <w:lvl w:ilvl="0">
        <w:start w:val="1"/>
        <w:numFmt w:val="decimal"/>
        <w:pStyle w:val="ListParagraph"/>
        <w:lvlText w:val="%1."/>
        <w:lvlJc w:val="left"/>
        <w:pPr>
          <w:ind w:left="360" w:hanging="360"/>
        </w:pPr>
        <w:rPr>
          <w:rFonts w:ascii="Arial" w:hAnsi="Arial"/>
          <w:b w:val="0"/>
          <w:color w:val="000000"/>
          <w:sz w:val="24"/>
        </w:rPr>
      </w:lvl>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77"/>
    <w:rsid w:val="0000087A"/>
    <w:rsid w:val="00000ED3"/>
    <w:rsid w:val="00006412"/>
    <w:rsid w:val="000064B2"/>
    <w:rsid w:val="000117D4"/>
    <w:rsid w:val="0002110C"/>
    <w:rsid w:val="00027C89"/>
    <w:rsid w:val="000314D7"/>
    <w:rsid w:val="00031970"/>
    <w:rsid w:val="00033E6E"/>
    <w:rsid w:val="00045F8B"/>
    <w:rsid w:val="00046811"/>
    <w:rsid w:val="00046D2B"/>
    <w:rsid w:val="000558C1"/>
    <w:rsid w:val="00056263"/>
    <w:rsid w:val="00060514"/>
    <w:rsid w:val="0006253B"/>
    <w:rsid w:val="00064D8A"/>
    <w:rsid w:val="00064F82"/>
    <w:rsid w:val="00066510"/>
    <w:rsid w:val="00075145"/>
    <w:rsid w:val="00077523"/>
    <w:rsid w:val="000808A7"/>
    <w:rsid w:val="000841D0"/>
    <w:rsid w:val="00084879"/>
    <w:rsid w:val="00090AEB"/>
    <w:rsid w:val="00091FA4"/>
    <w:rsid w:val="000A0E9E"/>
    <w:rsid w:val="000B5A86"/>
    <w:rsid w:val="000B78AA"/>
    <w:rsid w:val="000C089F"/>
    <w:rsid w:val="000C1921"/>
    <w:rsid w:val="000C3928"/>
    <w:rsid w:val="000C5E8E"/>
    <w:rsid w:val="000D5325"/>
    <w:rsid w:val="000E47FE"/>
    <w:rsid w:val="000F2707"/>
    <w:rsid w:val="000F454D"/>
    <w:rsid w:val="000F4751"/>
    <w:rsid w:val="000F57A8"/>
    <w:rsid w:val="0010524C"/>
    <w:rsid w:val="00111FB1"/>
    <w:rsid w:val="00113418"/>
    <w:rsid w:val="00121FDA"/>
    <w:rsid w:val="00122177"/>
    <w:rsid w:val="0012314C"/>
    <w:rsid w:val="001256A8"/>
    <w:rsid w:val="00125CE9"/>
    <w:rsid w:val="00131081"/>
    <w:rsid w:val="00132EE9"/>
    <w:rsid w:val="00134BE1"/>
    <w:rsid w:val="001356F1"/>
    <w:rsid w:val="00136994"/>
    <w:rsid w:val="0013753C"/>
    <w:rsid w:val="00137C1E"/>
    <w:rsid w:val="0014128E"/>
    <w:rsid w:val="0014259F"/>
    <w:rsid w:val="00151888"/>
    <w:rsid w:val="00152F48"/>
    <w:rsid w:val="0015616D"/>
    <w:rsid w:val="00162926"/>
    <w:rsid w:val="00170A2D"/>
    <w:rsid w:val="001752AD"/>
    <w:rsid w:val="00176693"/>
    <w:rsid w:val="001808BC"/>
    <w:rsid w:val="001811FD"/>
    <w:rsid w:val="00182B81"/>
    <w:rsid w:val="0018553A"/>
    <w:rsid w:val="0018619D"/>
    <w:rsid w:val="001A011E"/>
    <w:rsid w:val="001A066A"/>
    <w:rsid w:val="001A13E6"/>
    <w:rsid w:val="001A5731"/>
    <w:rsid w:val="001B42C3"/>
    <w:rsid w:val="001C5D5E"/>
    <w:rsid w:val="001C5F46"/>
    <w:rsid w:val="001D678D"/>
    <w:rsid w:val="001E03F8"/>
    <w:rsid w:val="001E1678"/>
    <w:rsid w:val="001E2141"/>
    <w:rsid w:val="001E3376"/>
    <w:rsid w:val="001E3562"/>
    <w:rsid w:val="001E4A99"/>
    <w:rsid w:val="001E721F"/>
    <w:rsid w:val="001F0EC0"/>
    <w:rsid w:val="001F79BA"/>
    <w:rsid w:val="00203073"/>
    <w:rsid w:val="00203A7A"/>
    <w:rsid w:val="00204042"/>
    <w:rsid w:val="002069B3"/>
    <w:rsid w:val="00213535"/>
    <w:rsid w:val="00215A2A"/>
    <w:rsid w:val="00217A3C"/>
    <w:rsid w:val="00227010"/>
    <w:rsid w:val="002329CF"/>
    <w:rsid w:val="00232F5B"/>
    <w:rsid w:val="00232FF3"/>
    <w:rsid w:val="00247C29"/>
    <w:rsid w:val="00260467"/>
    <w:rsid w:val="00262C7E"/>
    <w:rsid w:val="00263EA3"/>
    <w:rsid w:val="00273877"/>
    <w:rsid w:val="00284F85"/>
    <w:rsid w:val="00286947"/>
    <w:rsid w:val="00290915"/>
    <w:rsid w:val="0029101D"/>
    <w:rsid w:val="002A22E2"/>
    <w:rsid w:val="002A2FA4"/>
    <w:rsid w:val="002C2260"/>
    <w:rsid w:val="002C64F7"/>
    <w:rsid w:val="002F41F2"/>
    <w:rsid w:val="002F4846"/>
    <w:rsid w:val="002F5BCE"/>
    <w:rsid w:val="00301BF3"/>
    <w:rsid w:val="0030208D"/>
    <w:rsid w:val="003221C0"/>
    <w:rsid w:val="00323418"/>
    <w:rsid w:val="00324E17"/>
    <w:rsid w:val="003357BF"/>
    <w:rsid w:val="00340219"/>
    <w:rsid w:val="00364077"/>
    <w:rsid w:val="00364FAD"/>
    <w:rsid w:val="0036738F"/>
    <w:rsid w:val="0036759C"/>
    <w:rsid w:val="00367AE5"/>
    <w:rsid w:val="00367D71"/>
    <w:rsid w:val="00372348"/>
    <w:rsid w:val="0038150A"/>
    <w:rsid w:val="00394645"/>
    <w:rsid w:val="003962CC"/>
    <w:rsid w:val="003A463B"/>
    <w:rsid w:val="003B1AC2"/>
    <w:rsid w:val="003B6E75"/>
    <w:rsid w:val="003B7DA1"/>
    <w:rsid w:val="003C6B17"/>
    <w:rsid w:val="003D0379"/>
    <w:rsid w:val="003D23E1"/>
    <w:rsid w:val="003D2574"/>
    <w:rsid w:val="003D4C59"/>
    <w:rsid w:val="003D6D23"/>
    <w:rsid w:val="003E1C20"/>
    <w:rsid w:val="003F4267"/>
    <w:rsid w:val="00402B7E"/>
    <w:rsid w:val="00404032"/>
    <w:rsid w:val="00404613"/>
    <w:rsid w:val="0040736F"/>
    <w:rsid w:val="00412C1F"/>
    <w:rsid w:val="00413C2E"/>
    <w:rsid w:val="00421CB2"/>
    <w:rsid w:val="004268B9"/>
    <w:rsid w:val="00433559"/>
    <w:rsid w:val="004337D0"/>
    <w:rsid w:val="00433B96"/>
    <w:rsid w:val="004357E4"/>
    <w:rsid w:val="00437DBC"/>
    <w:rsid w:val="004440F1"/>
    <w:rsid w:val="004456DD"/>
    <w:rsid w:val="00446CDF"/>
    <w:rsid w:val="004521B7"/>
    <w:rsid w:val="00462AB5"/>
    <w:rsid w:val="00465EAF"/>
    <w:rsid w:val="004738C5"/>
    <w:rsid w:val="00477722"/>
    <w:rsid w:val="00483E0C"/>
    <w:rsid w:val="00485F34"/>
    <w:rsid w:val="004870F3"/>
    <w:rsid w:val="00491046"/>
    <w:rsid w:val="004A2AC7"/>
    <w:rsid w:val="004A6D2F"/>
    <w:rsid w:val="004C2887"/>
    <w:rsid w:val="004C3380"/>
    <w:rsid w:val="004C5F14"/>
    <w:rsid w:val="004D2626"/>
    <w:rsid w:val="004D6E26"/>
    <w:rsid w:val="004D77D3"/>
    <w:rsid w:val="004E1F83"/>
    <w:rsid w:val="004E2959"/>
    <w:rsid w:val="004E65BB"/>
    <w:rsid w:val="004F20EF"/>
    <w:rsid w:val="004F3705"/>
    <w:rsid w:val="004F3C8B"/>
    <w:rsid w:val="004F75A0"/>
    <w:rsid w:val="0050321C"/>
    <w:rsid w:val="005038A3"/>
    <w:rsid w:val="00505618"/>
    <w:rsid w:val="00507A35"/>
    <w:rsid w:val="00516B80"/>
    <w:rsid w:val="00516E58"/>
    <w:rsid w:val="00523D13"/>
    <w:rsid w:val="00531113"/>
    <w:rsid w:val="0054712D"/>
    <w:rsid w:val="00547EF6"/>
    <w:rsid w:val="005570B5"/>
    <w:rsid w:val="00567E18"/>
    <w:rsid w:val="00575F5F"/>
    <w:rsid w:val="00576688"/>
    <w:rsid w:val="00581805"/>
    <w:rsid w:val="005833C9"/>
    <w:rsid w:val="00585F76"/>
    <w:rsid w:val="0058636F"/>
    <w:rsid w:val="005A34E4"/>
    <w:rsid w:val="005B17F2"/>
    <w:rsid w:val="005B7FB0"/>
    <w:rsid w:val="005C35A5"/>
    <w:rsid w:val="005C577C"/>
    <w:rsid w:val="005C5FF4"/>
    <w:rsid w:val="005D0621"/>
    <w:rsid w:val="005D10AE"/>
    <w:rsid w:val="005D133D"/>
    <w:rsid w:val="005D1E27"/>
    <w:rsid w:val="005D2A3E"/>
    <w:rsid w:val="005D6D16"/>
    <w:rsid w:val="005E022E"/>
    <w:rsid w:val="005E5215"/>
    <w:rsid w:val="005E5C27"/>
    <w:rsid w:val="005F205E"/>
    <w:rsid w:val="005F2C1C"/>
    <w:rsid w:val="005F7F7E"/>
    <w:rsid w:val="0060345F"/>
    <w:rsid w:val="0061215A"/>
    <w:rsid w:val="00613890"/>
    <w:rsid w:val="006138D8"/>
    <w:rsid w:val="00614693"/>
    <w:rsid w:val="00623C2F"/>
    <w:rsid w:val="00633578"/>
    <w:rsid w:val="00637068"/>
    <w:rsid w:val="00650811"/>
    <w:rsid w:val="006508E7"/>
    <w:rsid w:val="0065407D"/>
    <w:rsid w:val="00661D3E"/>
    <w:rsid w:val="00684125"/>
    <w:rsid w:val="00684876"/>
    <w:rsid w:val="00692627"/>
    <w:rsid w:val="00693E08"/>
    <w:rsid w:val="006969E7"/>
    <w:rsid w:val="0069725A"/>
    <w:rsid w:val="0069779D"/>
    <w:rsid w:val="006A3643"/>
    <w:rsid w:val="006B5BD6"/>
    <w:rsid w:val="006B5D31"/>
    <w:rsid w:val="006B648B"/>
    <w:rsid w:val="006C2A29"/>
    <w:rsid w:val="006C64CF"/>
    <w:rsid w:val="006D17B1"/>
    <w:rsid w:val="006D4752"/>
    <w:rsid w:val="006D51E8"/>
    <w:rsid w:val="006D708A"/>
    <w:rsid w:val="006E13F8"/>
    <w:rsid w:val="006E14C1"/>
    <w:rsid w:val="006F0292"/>
    <w:rsid w:val="006F27FA"/>
    <w:rsid w:val="006F416B"/>
    <w:rsid w:val="006F519B"/>
    <w:rsid w:val="00703ABC"/>
    <w:rsid w:val="00713675"/>
    <w:rsid w:val="00715823"/>
    <w:rsid w:val="00717326"/>
    <w:rsid w:val="00717D08"/>
    <w:rsid w:val="00721B55"/>
    <w:rsid w:val="00727126"/>
    <w:rsid w:val="00731B31"/>
    <w:rsid w:val="00731ECF"/>
    <w:rsid w:val="00737B93"/>
    <w:rsid w:val="00745BF0"/>
    <w:rsid w:val="0074601D"/>
    <w:rsid w:val="0076135D"/>
    <w:rsid w:val="007615FE"/>
    <w:rsid w:val="0076655C"/>
    <w:rsid w:val="00773FF0"/>
    <w:rsid w:val="007742DC"/>
    <w:rsid w:val="00791437"/>
    <w:rsid w:val="007A6AEE"/>
    <w:rsid w:val="007B0C2C"/>
    <w:rsid w:val="007B213E"/>
    <w:rsid w:val="007B2259"/>
    <w:rsid w:val="007B278E"/>
    <w:rsid w:val="007B4D0C"/>
    <w:rsid w:val="007B62A1"/>
    <w:rsid w:val="007C3D54"/>
    <w:rsid w:val="007C5C23"/>
    <w:rsid w:val="007D0FD4"/>
    <w:rsid w:val="007D7A90"/>
    <w:rsid w:val="007E1771"/>
    <w:rsid w:val="007E2A26"/>
    <w:rsid w:val="007E47E4"/>
    <w:rsid w:val="007E59F3"/>
    <w:rsid w:val="007F2348"/>
    <w:rsid w:val="00803F07"/>
    <w:rsid w:val="0080749A"/>
    <w:rsid w:val="00821FB8"/>
    <w:rsid w:val="00822ACD"/>
    <w:rsid w:val="00823285"/>
    <w:rsid w:val="00855C66"/>
    <w:rsid w:val="008633E5"/>
    <w:rsid w:val="008643F0"/>
    <w:rsid w:val="00871EE4"/>
    <w:rsid w:val="008749B6"/>
    <w:rsid w:val="008858C9"/>
    <w:rsid w:val="008916DF"/>
    <w:rsid w:val="008B293F"/>
    <w:rsid w:val="008B7371"/>
    <w:rsid w:val="008C4C68"/>
    <w:rsid w:val="008D0C64"/>
    <w:rsid w:val="008D12B5"/>
    <w:rsid w:val="008D3DDB"/>
    <w:rsid w:val="008D793D"/>
    <w:rsid w:val="008E144D"/>
    <w:rsid w:val="008F2D40"/>
    <w:rsid w:val="008F573F"/>
    <w:rsid w:val="008F6336"/>
    <w:rsid w:val="009034EC"/>
    <w:rsid w:val="00904BF6"/>
    <w:rsid w:val="00927CF7"/>
    <w:rsid w:val="0093067A"/>
    <w:rsid w:val="00933D28"/>
    <w:rsid w:val="009362E1"/>
    <w:rsid w:val="00941C60"/>
    <w:rsid w:val="00941FD1"/>
    <w:rsid w:val="00950676"/>
    <w:rsid w:val="00953AA2"/>
    <w:rsid w:val="00960479"/>
    <w:rsid w:val="00966D42"/>
    <w:rsid w:val="00971689"/>
    <w:rsid w:val="00973E90"/>
    <w:rsid w:val="00975B07"/>
    <w:rsid w:val="00980B4A"/>
    <w:rsid w:val="00982BA9"/>
    <w:rsid w:val="00987931"/>
    <w:rsid w:val="00993055"/>
    <w:rsid w:val="009B12F4"/>
    <w:rsid w:val="009C0E04"/>
    <w:rsid w:val="009C53B8"/>
    <w:rsid w:val="009D2966"/>
    <w:rsid w:val="009E2B0B"/>
    <w:rsid w:val="009E3220"/>
    <w:rsid w:val="009E3D0A"/>
    <w:rsid w:val="009E51FC"/>
    <w:rsid w:val="009F1D28"/>
    <w:rsid w:val="009F546E"/>
    <w:rsid w:val="009F7618"/>
    <w:rsid w:val="00A04D23"/>
    <w:rsid w:val="00A06766"/>
    <w:rsid w:val="00A13765"/>
    <w:rsid w:val="00A21B12"/>
    <w:rsid w:val="00A23F15"/>
    <w:rsid w:val="00A23F80"/>
    <w:rsid w:val="00A304AE"/>
    <w:rsid w:val="00A30AA7"/>
    <w:rsid w:val="00A34BFD"/>
    <w:rsid w:val="00A36089"/>
    <w:rsid w:val="00A46E98"/>
    <w:rsid w:val="00A47BC3"/>
    <w:rsid w:val="00A60386"/>
    <w:rsid w:val="00A6352B"/>
    <w:rsid w:val="00A701B5"/>
    <w:rsid w:val="00A714BB"/>
    <w:rsid w:val="00A77147"/>
    <w:rsid w:val="00A77AAD"/>
    <w:rsid w:val="00A83C32"/>
    <w:rsid w:val="00A84697"/>
    <w:rsid w:val="00A92D8F"/>
    <w:rsid w:val="00A97A9C"/>
    <w:rsid w:val="00AA201E"/>
    <w:rsid w:val="00AA2249"/>
    <w:rsid w:val="00AB0DFD"/>
    <w:rsid w:val="00AB2988"/>
    <w:rsid w:val="00AB7999"/>
    <w:rsid w:val="00AC6EB6"/>
    <w:rsid w:val="00AD1ABC"/>
    <w:rsid w:val="00AD3292"/>
    <w:rsid w:val="00AE7AF0"/>
    <w:rsid w:val="00B05E4E"/>
    <w:rsid w:val="00B12C36"/>
    <w:rsid w:val="00B21F84"/>
    <w:rsid w:val="00B228F5"/>
    <w:rsid w:val="00B3679C"/>
    <w:rsid w:val="00B418B0"/>
    <w:rsid w:val="00B500CA"/>
    <w:rsid w:val="00B60951"/>
    <w:rsid w:val="00B61B3E"/>
    <w:rsid w:val="00B63E92"/>
    <w:rsid w:val="00B65663"/>
    <w:rsid w:val="00B70ED9"/>
    <w:rsid w:val="00B72892"/>
    <w:rsid w:val="00B743F7"/>
    <w:rsid w:val="00B74B48"/>
    <w:rsid w:val="00B86314"/>
    <w:rsid w:val="00B9216E"/>
    <w:rsid w:val="00B929C5"/>
    <w:rsid w:val="00BA1C2E"/>
    <w:rsid w:val="00BB3F4E"/>
    <w:rsid w:val="00BC200B"/>
    <w:rsid w:val="00BC4756"/>
    <w:rsid w:val="00BC69A4"/>
    <w:rsid w:val="00BD2C0F"/>
    <w:rsid w:val="00BD5225"/>
    <w:rsid w:val="00BE0680"/>
    <w:rsid w:val="00BE0CCF"/>
    <w:rsid w:val="00BE305F"/>
    <w:rsid w:val="00BE7BA3"/>
    <w:rsid w:val="00BF5682"/>
    <w:rsid w:val="00BF5E46"/>
    <w:rsid w:val="00BF7B09"/>
    <w:rsid w:val="00C01C28"/>
    <w:rsid w:val="00C12A71"/>
    <w:rsid w:val="00C170B6"/>
    <w:rsid w:val="00C20A95"/>
    <w:rsid w:val="00C2173B"/>
    <w:rsid w:val="00C26866"/>
    <w:rsid w:val="00C2692F"/>
    <w:rsid w:val="00C3207C"/>
    <w:rsid w:val="00C36362"/>
    <w:rsid w:val="00C400E1"/>
    <w:rsid w:val="00C40BD2"/>
    <w:rsid w:val="00C41187"/>
    <w:rsid w:val="00C43530"/>
    <w:rsid w:val="00C5545A"/>
    <w:rsid w:val="00C5588A"/>
    <w:rsid w:val="00C55F31"/>
    <w:rsid w:val="00C57671"/>
    <w:rsid w:val="00C63C31"/>
    <w:rsid w:val="00C6445E"/>
    <w:rsid w:val="00C6545B"/>
    <w:rsid w:val="00C73996"/>
    <w:rsid w:val="00C757A0"/>
    <w:rsid w:val="00C760DE"/>
    <w:rsid w:val="00C81F27"/>
    <w:rsid w:val="00C82630"/>
    <w:rsid w:val="00C85B4E"/>
    <w:rsid w:val="00C907F7"/>
    <w:rsid w:val="00CA2103"/>
    <w:rsid w:val="00CA508C"/>
    <w:rsid w:val="00CA61B6"/>
    <w:rsid w:val="00CB6B99"/>
    <w:rsid w:val="00CE15E7"/>
    <w:rsid w:val="00CE4C87"/>
    <w:rsid w:val="00CE544A"/>
    <w:rsid w:val="00CF2142"/>
    <w:rsid w:val="00D03C17"/>
    <w:rsid w:val="00D07230"/>
    <w:rsid w:val="00D10AF6"/>
    <w:rsid w:val="00D11E1C"/>
    <w:rsid w:val="00D160B0"/>
    <w:rsid w:val="00D17F94"/>
    <w:rsid w:val="00D21A4E"/>
    <w:rsid w:val="00D223FC"/>
    <w:rsid w:val="00D26D1E"/>
    <w:rsid w:val="00D33D18"/>
    <w:rsid w:val="00D35AFA"/>
    <w:rsid w:val="00D37FDC"/>
    <w:rsid w:val="00D4346D"/>
    <w:rsid w:val="00D474CF"/>
    <w:rsid w:val="00D5547E"/>
    <w:rsid w:val="00D63CB4"/>
    <w:rsid w:val="00D709AF"/>
    <w:rsid w:val="00D81D0D"/>
    <w:rsid w:val="00D82435"/>
    <w:rsid w:val="00D85309"/>
    <w:rsid w:val="00D860E2"/>
    <w:rsid w:val="00D869A1"/>
    <w:rsid w:val="00D9512F"/>
    <w:rsid w:val="00DA413F"/>
    <w:rsid w:val="00DA4584"/>
    <w:rsid w:val="00DA614B"/>
    <w:rsid w:val="00DB7AD7"/>
    <w:rsid w:val="00DC3060"/>
    <w:rsid w:val="00DC4850"/>
    <w:rsid w:val="00DD2533"/>
    <w:rsid w:val="00DE0FB2"/>
    <w:rsid w:val="00DF093E"/>
    <w:rsid w:val="00DF4E0B"/>
    <w:rsid w:val="00DF5727"/>
    <w:rsid w:val="00DF7203"/>
    <w:rsid w:val="00E01F42"/>
    <w:rsid w:val="00E105BA"/>
    <w:rsid w:val="00E1368F"/>
    <w:rsid w:val="00E206D6"/>
    <w:rsid w:val="00E32F68"/>
    <w:rsid w:val="00E3366E"/>
    <w:rsid w:val="00E4075A"/>
    <w:rsid w:val="00E410B6"/>
    <w:rsid w:val="00E52086"/>
    <w:rsid w:val="00E543A6"/>
    <w:rsid w:val="00E55D87"/>
    <w:rsid w:val="00E60479"/>
    <w:rsid w:val="00E61103"/>
    <w:rsid w:val="00E61926"/>
    <w:rsid w:val="00E61D73"/>
    <w:rsid w:val="00E73684"/>
    <w:rsid w:val="00E765B6"/>
    <w:rsid w:val="00E818D6"/>
    <w:rsid w:val="00E819E1"/>
    <w:rsid w:val="00E862EA"/>
    <w:rsid w:val="00E87F7A"/>
    <w:rsid w:val="00E91393"/>
    <w:rsid w:val="00E94B3E"/>
    <w:rsid w:val="00E95884"/>
    <w:rsid w:val="00E96BD7"/>
    <w:rsid w:val="00EA0DB1"/>
    <w:rsid w:val="00EA0EE9"/>
    <w:rsid w:val="00EA2910"/>
    <w:rsid w:val="00EC19EC"/>
    <w:rsid w:val="00EC6A44"/>
    <w:rsid w:val="00EC7113"/>
    <w:rsid w:val="00EC7637"/>
    <w:rsid w:val="00ED52CA"/>
    <w:rsid w:val="00ED5860"/>
    <w:rsid w:val="00EE1F9C"/>
    <w:rsid w:val="00EE35C9"/>
    <w:rsid w:val="00F01903"/>
    <w:rsid w:val="00F05ECA"/>
    <w:rsid w:val="00F171EB"/>
    <w:rsid w:val="00F227FB"/>
    <w:rsid w:val="00F23EB0"/>
    <w:rsid w:val="00F24FB4"/>
    <w:rsid w:val="00F3151F"/>
    <w:rsid w:val="00F3566E"/>
    <w:rsid w:val="00F358D0"/>
    <w:rsid w:val="00F36357"/>
    <w:rsid w:val="00F375FB"/>
    <w:rsid w:val="00F41AC1"/>
    <w:rsid w:val="00F4367A"/>
    <w:rsid w:val="00F445B1"/>
    <w:rsid w:val="00F45CD4"/>
    <w:rsid w:val="00F56B06"/>
    <w:rsid w:val="00F61143"/>
    <w:rsid w:val="00F62FE1"/>
    <w:rsid w:val="00F633C5"/>
    <w:rsid w:val="00F66BFA"/>
    <w:rsid w:val="00F66DCA"/>
    <w:rsid w:val="00F74F53"/>
    <w:rsid w:val="00F7606D"/>
    <w:rsid w:val="00F81670"/>
    <w:rsid w:val="00F82024"/>
    <w:rsid w:val="00F94994"/>
    <w:rsid w:val="00F95BC9"/>
    <w:rsid w:val="00F96950"/>
    <w:rsid w:val="00FA50AA"/>
    <w:rsid w:val="00FA624C"/>
    <w:rsid w:val="00FC2390"/>
    <w:rsid w:val="00FC4A23"/>
    <w:rsid w:val="00FD0FAC"/>
    <w:rsid w:val="00FD1DFA"/>
    <w:rsid w:val="00FD4966"/>
    <w:rsid w:val="00FE260E"/>
    <w:rsid w:val="00FE57DC"/>
    <w:rsid w:val="00FE69D2"/>
    <w:rsid w:val="00FF6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AF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6B80"/>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JLLBodyText">
    <w:name w:val="JLL_Body Text"/>
    <w:basedOn w:val="Normal"/>
    <w:link w:val="JLLBodyTextChar"/>
    <w:qFormat/>
    <w:rsid w:val="00960479"/>
    <w:pPr>
      <w:spacing w:after="280"/>
      <w:ind w:left="680"/>
    </w:pPr>
    <w:rPr>
      <w:rFonts w:ascii="Arial Narrow" w:hAnsi="Arial Narrow"/>
      <w:color w:val="auto"/>
      <w:sz w:val="22"/>
    </w:rPr>
  </w:style>
  <w:style w:type="paragraph" w:customStyle="1" w:styleId="JLLHeadingFour">
    <w:name w:val="JLL_Heading Four"/>
    <w:basedOn w:val="Normal"/>
    <w:next w:val="JLLBodyText"/>
    <w:qFormat/>
    <w:rsid w:val="00960479"/>
    <w:pPr>
      <w:keepNext/>
      <w:numPr>
        <w:ilvl w:val="3"/>
        <w:numId w:val="7"/>
      </w:numPr>
      <w:spacing w:after="280" w:line="280" w:lineRule="exact"/>
    </w:pPr>
    <w:rPr>
      <w:rFonts w:ascii="Arial Narrow" w:hAnsi="Arial Narrow"/>
      <w:color w:val="000000" w:themeColor="text1"/>
      <w:sz w:val="22"/>
    </w:rPr>
  </w:style>
  <w:style w:type="paragraph" w:customStyle="1" w:styleId="JLLHeadingOne">
    <w:name w:val="JLL_Heading One"/>
    <w:basedOn w:val="Normal"/>
    <w:next w:val="JLLBodyText"/>
    <w:qFormat/>
    <w:rsid w:val="00960479"/>
    <w:pPr>
      <w:pageBreakBefore/>
      <w:numPr>
        <w:numId w:val="7"/>
      </w:numPr>
      <w:spacing w:after="280" w:line="440" w:lineRule="exact"/>
      <w:outlineLvl w:val="0"/>
    </w:pPr>
    <w:rPr>
      <w:rFonts w:ascii="Times New Roman" w:hAnsi="Times New Roman"/>
      <w:color w:val="BC141A"/>
      <w:sz w:val="44"/>
      <w:szCs w:val="40"/>
    </w:rPr>
  </w:style>
  <w:style w:type="paragraph" w:customStyle="1" w:styleId="JLLHeadingThree">
    <w:name w:val="JLL_Heading Three"/>
    <w:basedOn w:val="Normal"/>
    <w:next w:val="JLLBodyText"/>
    <w:qFormat/>
    <w:rsid w:val="00960479"/>
    <w:pPr>
      <w:keepNext/>
      <w:numPr>
        <w:ilvl w:val="2"/>
        <w:numId w:val="7"/>
      </w:numPr>
      <w:spacing w:after="280" w:line="280" w:lineRule="exact"/>
      <w:outlineLvl w:val="2"/>
    </w:pPr>
    <w:rPr>
      <w:rFonts w:ascii="Arial Narrow" w:hAnsi="Arial Narrow"/>
      <w:color w:val="auto"/>
      <w:sz w:val="22"/>
    </w:rPr>
  </w:style>
  <w:style w:type="paragraph" w:customStyle="1" w:styleId="JLLHeadingTwo">
    <w:name w:val="JLL_Heading Two"/>
    <w:basedOn w:val="Normal"/>
    <w:next w:val="JLLBodyText"/>
    <w:qFormat/>
    <w:rsid w:val="00960479"/>
    <w:pPr>
      <w:keepNext/>
      <w:numPr>
        <w:ilvl w:val="1"/>
        <w:numId w:val="7"/>
      </w:numPr>
      <w:spacing w:after="280" w:line="280" w:lineRule="exact"/>
      <w:outlineLvl w:val="1"/>
    </w:pPr>
    <w:rPr>
      <w:rFonts w:ascii="Arial Narrow" w:hAnsi="Arial Narrow"/>
      <w:b/>
      <w:color w:val="89898B"/>
      <w:sz w:val="22"/>
    </w:rPr>
  </w:style>
  <w:style w:type="paragraph" w:customStyle="1" w:styleId="HeadingTwoJLL">
    <w:name w:val="Heading Two_JLL"/>
    <w:basedOn w:val="Normal"/>
    <w:next w:val="Normal"/>
    <w:uiPriority w:val="1"/>
    <w:qFormat/>
    <w:rsid w:val="00960479"/>
    <w:pPr>
      <w:numPr>
        <w:ilvl w:val="1"/>
        <w:numId w:val="8"/>
      </w:numPr>
      <w:spacing w:after="240"/>
    </w:pPr>
    <w:rPr>
      <w:rFonts w:ascii="Source Sans Pro Light" w:eastAsiaTheme="minorHAnsi" w:hAnsi="Source Sans Pro Light" w:cstheme="minorBidi"/>
      <w:color w:val="auto"/>
      <w:sz w:val="28"/>
      <w:szCs w:val="22"/>
      <w:lang w:eastAsia="en-US"/>
    </w:rPr>
  </w:style>
  <w:style w:type="paragraph" w:customStyle="1" w:styleId="HeadingOneJLL">
    <w:name w:val="Heading One_JLL"/>
    <w:basedOn w:val="Normal"/>
    <w:next w:val="Normal"/>
    <w:qFormat/>
    <w:rsid w:val="00960479"/>
    <w:pPr>
      <w:numPr>
        <w:numId w:val="8"/>
      </w:numPr>
      <w:spacing w:after="240"/>
    </w:pPr>
    <w:rPr>
      <w:rFonts w:ascii="Source Sans Pro Semibold" w:eastAsiaTheme="minorHAnsi" w:hAnsi="Source Sans Pro Semibold" w:cstheme="minorBidi"/>
      <w:color w:val="auto"/>
      <w:sz w:val="28"/>
      <w:szCs w:val="22"/>
      <w:lang w:eastAsia="en-US"/>
    </w:rPr>
  </w:style>
  <w:style w:type="table" w:customStyle="1" w:styleId="JLLStandard">
    <w:name w:val="JLL_Standard"/>
    <w:basedOn w:val="TableNormal"/>
    <w:uiPriority w:val="23"/>
    <w:rsid w:val="00960479"/>
    <w:rPr>
      <w:rFonts w:ascii="Source Sans Pro" w:eastAsiaTheme="minorHAnsi" w:hAnsi="Source Sans Pro" w:cstheme="minorBidi"/>
      <w:sz w:val="19"/>
      <w:szCs w:val="22"/>
      <w:lang w:eastAsia="en-US"/>
    </w:rPr>
    <w:tblPr>
      <w:tblStyleRowBandSize w:val="1"/>
      <w:tblInd w:w="108" w:type="dxa"/>
      <w:tblBorders>
        <w:insideV w:val="single" w:sz="4" w:space="0" w:color="FFFFFF"/>
      </w:tblBorders>
    </w:tblPr>
    <w:tblStylePr w:type="firstRow">
      <w:rPr>
        <w:rFonts w:ascii="Source Sans Pro" w:hAnsi="Source Sans Pro"/>
        <w:color w:val="FFFFFF"/>
        <w:sz w:val="19"/>
      </w:rPr>
      <w:tblPr/>
      <w:tcPr>
        <w:tcBorders>
          <w:top w:val="nil"/>
          <w:left w:val="nil"/>
          <w:bottom w:val="nil"/>
          <w:right w:val="nil"/>
          <w:insideH w:val="nil"/>
          <w:insideV w:val="nil"/>
          <w:tl2br w:val="nil"/>
          <w:tr2bl w:val="nil"/>
        </w:tcBorders>
        <w:shd w:val="clear" w:color="auto" w:fill="D51918"/>
      </w:tcPr>
    </w:tblStylePr>
    <w:tblStylePr w:type="band1Horz">
      <w:tblPr/>
      <w:tcPr>
        <w:tcBorders>
          <w:top w:val="nil"/>
          <w:left w:val="nil"/>
          <w:bottom w:val="nil"/>
          <w:right w:val="nil"/>
          <w:insideH w:val="nil"/>
          <w:insideV w:val="nil"/>
          <w:tl2br w:val="nil"/>
          <w:tr2bl w:val="nil"/>
        </w:tcBorders>
        <w:shd w:val="clear" w:color="auto" w:fill="D6D6D6"/>
      </w:tcPr>
    </w:tblStylePr>
    <w:tblStylePr w:type="band2Horz">
      <w:tblPr/>
      <w:tcPr>
        <w:tcBorders>
          <w:top w:val="nil"/>
          <w:left w:val="nil"/>
          <w:bottom w:val="nil"/>
          <w:right w:val="nil"/>
          <w:insideH w:val="nil"/>
          <w:insideV w:val="nil"/>
          <w:tl2br w:val="nil"/>
          <w:tr2bl w:val="nil"/>
        </w:tcBorders>
        <w:shd w:val="clear" w:color="auto" w:fill="F2F2F2"/>
      </w:tcPr>
    </w:tblStylePr>
  </w:style>
  <w:style w:type="paragraph" w:customStyle="1" w:styleId="TBHeaderJLL">
    <w:name w:val="TB_Header_JLL"/>
    <w:basedOn w:val="Normal"/>
    <w:uiPriority w:val="14"/>
    <w:qFormat/>
    <w:rsid w:val="00960479"/>
    <w:pPr>
      <w:spacing w:before="20" w:after="20" w:line="240" w:lineRule="exact"/>
    </w:pPr>
    <w:rPr>
      <w:rFonts w:ascii="Source Sans Pro Semibold" w:eastAsiaTheme="minorHAnsi" w:hAnsi="Source Sans Pro Semibold" w:cstheme="minorBidi"/>
      <w:color w:val="FFFFFF"/>
      <w:sz w:val="20"/>
      <w:szCs w:val="22"/>
      <w:lang w:eastAsia="en-US"/>
    </w:rPr>
  </w:style>
  <w:style w:type="paragraph" w:customStyle="1" w:styleId="TBTextJLL">
    <w:name w:val="TB_Text_JLL"/>
    <w:basedOn w:val="Normal"/>
    <w:uiPriority w:val="15"/>
    <w:qFormat/>
    <w:rsid w:val="00960479"/>
    <w:pPr>
      <w:spacing w:before="20" w:after="20" w:line="240" w:lineRule="exact"/>
    </w:pPr>
    <w:rPr>
      <w:rFonts w:ascii="Source Sans Pro" w:eastAsiaTheme="minorHAnsi" w:hAnsi="Source Sans Pro" w:cstheme="minorBidi"/>
      <w:color w:val="797979"/>
      <w:sz w:val="20"/>
      <w:szCs w:val="22"/>
      <w:lang w:eastAsia="en-US"/>
    </w:rPr>
  </w:style>
  <w:style w:type="character" w:customStyle="1" w:styleId="JLLBodyTextChar">
    <w:name w:val="JLL_Body Text Char"/>
    <w:basedOn w:val="DefaultParagraphFont"/>
    <w:link w:val="JLLBodyText"/>
    <w:locked/>
    <w:rsid w:val="00960479"/>
    <w:rPr>
      <w:rFonts w:ascii="Arial Narrow" w:hAnsi="Arial Narrow"/>
      <w:sz w:val="22"/>
      <w:szCs w:val="24"/>
    </w:rPr>
  </w:style>
  <w:style w:type="character" w:styleId="LineNumber">
    <w:name w:val="line number"/>
    <w:basedOn w:val="DefaultParagraphFont"/>
    <w:semiHidden/>
    <w:unhideWhenUsed/>
    <w:rsid w:val="00531113"/>
  </w:style>
  <w:style w:type="character" w:customStyle="1" w:styleId="FooterChar">
    <w:name w:val="Footer Char"/>
    <w:aliases w:val="zzFooter Char"/>
    <w:basedOn w:val="DefaultParagraphFont"/>
    <w:link w:val="Footer"/>
    <w:uiPriority w:val="99"/>
    <w:rsid w:val="001C5F46"/>
    <w:rPr>
      <w:color w:val="000000"/>
      <w:sz w:val="18"/>
      <w:szCs w:val="24"/>
    </w:rPr>
  </w:style>
  <w:style w:type="table" w:customStyle="1" w:styleId="TableGrid1">
    <w:name w:val="Table Grid1"/>
    <w:basedOn w:val="TableNormal"/>
    <w:next w:val="TableGrid"/>
    <w:uiPriority w:val="39"/>
    <w:rsid w:val="001256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6B80"/>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JLLBodyText">
    <w:name w:val="JLL_Body Text"/>
    <w:basedOn w:val="Normal"/>
    <w:link w:val="JLLBodyTextChar"/>
    <w:qFormat/>
    <w:rsid w:val="00960479"/>
    <w:pPr>
      <w:spacing w:after="280"/>
      <w:ind w:left="680"/>
    </w:pPr>
    <w:rPr>
      <w:rFonts w:ascii="Arial Narrow" w:hAnsi="Arial Narrow"/>
      <w:color w:val="auto"/>
      <w:sz w:val="22"/>
    </w:rPr>
  </w:style>
  <w:style w:type="paragraph" w:customStyle="1" w:styleId="JLLHeadingFour">
    <w:name w:val="JLL_Heading Four"/>
    <w:basedOn w:val="Normal"/>
    <w:next w:val="JLLBodyText"/>
    <w:qFormat/>
    <w:rsid w:val="00960479"/>
    <w:pPr>
      <w:keepNext/>
      <w:numPr>
        <w:ilvl w:val="3"/>
        <w:numId w:val="7"/>
      </w:numPr>
      <w:spacing w:after="280" w:line="280" w:lineRule="exact"/>
    </w:pPr>
    <w:rPr>
      <w:rFonts w:ascii="Arial Narrow" w:hAnsi="Arial Narrow"/>
      <w:color w:val="000000" w:themeColor="text1"/>
      <w:sz w:val="22"/>
    </w:rPr>
  </w:style>
  <w:style w:type="paragraph" w:customStyle="1" w:styleId="JLLHeadingOne">
    <w:name w:val="JLL_Heading One"/>
    <w:basedOn w:val="Normal"/>
    <w:next w:val="JLLBodyText"/>
    <w:qFormat/>
    <w:rsid w:val="00960479"/>
    <w:pPr>
      <w:pageBreakBefore/>
      <w:numPr>
        <w:numId w:val="7"/>
      </w:numPr>
      <w:spacing w:after="280" w:line="440" w:lineRule="exact"/>
      <w:outlineLvl w:val="0"/>
    </w:pPr>
    <w:rPr>
      <w:rFonts w:ascii="Times New Roman" w:hAnsi="Times New Roman"/>
      <w:color w:val="BC141A"/>
      <w:sz w:val="44"/>
      <w:szCs w:val="40"/>
    </w:rPr>
  </w:style>
  <w:style w:type="paragraph" w:customStyle="1" w:styleId="JLLHeadingThree">
    <w:name w:val="JLL_Heading Three"/>
    <w:basedOn w:val="Normal"/>
    <w:next w:val="JLLBodyText"/>
    <w:qFormat/>
    <w:rsid w:val="00960479"/>
    <w:pPr>
      <w:keepNext/>
      <w:numPr>
        <w:ilvl w:val="2"/>
        <w:numId w:val="7"/>
      </w:numPr>
      <w:spacing w:after="280" w:line="280" w:lineRule="exact"/>
      <w:outlineLvl w:val="2"/>
    </w:pPr>
    <w:rPr>
      <w:rFonts w:ascii="Arial Narrow" w:hAnsi="Arial Narrow"/>
      <w:color w:val="auto"/>
      <w:sz w:val="22"/>
    </w:rPr>
  </w:style>
  <w:style w:type="paragraph" w:customStyle="1" w:styleId="JLLHeadingTwo">
    <w:name w:val="JLL_Heading Two"/>
    <w:basedOn w:val="Normal"/>
    <w:next w:val="JLLBodyText"/>
    <w:qFormat/>
    <w:rsid w:val="00960479"/>
    <w:pPr>
      <w:keepNext/>
      <w:numPr>
        <w:ilvl w:val="1"/>
        <w:numId w:val="7"/>
      </w:numPr>
      <w:spacing w:after="280" w:line="280" w:lineRule="exact"/>
      <w:outlineLvl w:val="1"/>
    </w:pPr>
    <w:rPr>
      <w:rFonts w:ascii="Arial Narrow" w:hAnsi="Arial Narrow"/>
      <w:b/>
      <w:color w:val="89898B"/>
      <w:sz w:val="22"/>
    </w:rPr>
  </w:style>
  <w:style w:type="paragraph" w:customStyle="1" w:styleId="HeadingTwoJLL">
    <w:name w:val="Heading Two_JLL"/>
    <w:basedOn w:val="Normal"/>
    <w:next w:val="Normal"/>
    <w:uiPriority w:val="1"/>
    <w:qFormat/>
    <w:rsid w:val="00960479"/>
    <w:pPr>
      <w:numPr>
        <w:ilvl w:val="1"/>
        <w:numId w:val="8"/>
      </w:numPr>
      <w:spacing w:after="240"/>
    </w:pPr>
    <w:rPr>
      <w:rFonts w:ascii="Source Sans Pro Light" w:eastAsiaTheme="minorHAnsi" w:hAnsi="Source Sans Pro Light" w:cstheme="minorBidi"/>
      <w:color w:val="auto"/>
      <w:sz w:val="28"/>
      <w:szCs w:val="22"/>
      <w:lang w:eastAsia="en-US"/>
    </w:rPr>
  </w:style>
  <w:style w:type="paragraph" w:customStyle="1" w:styleId="HeadingOneJLL">
    <w:name w:val="Heading One_JLL"/>
    <w:basedOn w:val="Normal"/>
    <w:next w:val="Normal"/>
    <w:qFormat/>
    <w:rsid w:val="00960479"/>
    <w:pPr>
      <w:numPr>
        <w:numId w:val="8"/>
      </w:numPr>
      <w:spacing w:after="240"/>
    </w:pPr>
    <w:rPr>
      <w:rFonts w:ascii="Source Sans Pro Semibold" w:eastAsiaTheme="minorHAnsi" w:hAnsi="Source Sans Pro Semibold" w:cstheme="minorBidi"/>
      <w:color w:val="auto"/>
      <w:sz w:val="28"/>
      <w:szCs w:val="22"/>
      <w:lang w:eastAsia="en-US"/>
    </w:rPr>
  </w:style>
  <w:style w:type="table" w:customStyle="1" w:styleId="JLLStandard">
    <w:name w:val="JLL_Standard"/>
    <w:basedOn w:val="TableNormal"/>
    <w:uiPriority w:val="23"/>
    <w:rsid w:val="00960479"/>
    <w:rPr>
      <w:rFonts w:ascii="Source Sans Pro" w:eastAsiaTheme="minorHAnsi" w:hAnsi="Source Sans Pro" w:cstheme="minorBidi"/>
      <w:sz w:val="19"/>
      <w:szCs w:val="22"/>
      <w:lang w:eastAsia="en-US"/>
    </w:rPr>
    <w:tblPr>
      <w:tblStyleRowBandSize w:val="1"/>
      <w:tblInd w:w="108" w:type="dxa"/>
      <w:tblBorders>
        <w:insideV w:val="single" w:sz="4" w:space="0" w:color="FFFFFF"/>
      </w:tblBorders>
    </w:tblPr>
    <w:tblStylePr w:type="firstRow">
      <w:rPr>
        <w:rFonts w:ascii="Source Sans Pro" w:hAnsi="Source Sans Pro"/>
        <w:color w:val="FFFFFF"/>
        <w:sz w:val="19"/>
      </w:rPr>
      <w:tblPr/>
      <w:tcPr>
        <w:tcBorders>
          <w:top w:val="nil"/>
          <w:left w:val="nil"/>
          <w:bottom w:val="nil"/>
          <w:right w:val="nil"/>
          <w:insideH w:val="nil"/>
          <w:insideV w:val="nil"/>
          <w:tl2br w:val="nil"/>
          <w:tr2bl w:val="nil"/>
        </w:tcBorders>
        <w:shd w:val="clear" w:color="auto" w:fill="D51918"/>
      </w:tcPr>
    </w:tblStylePr>
    <w:tblStylePr w:type="band1Horz">
      <w:tblPr/>
      <w:tcPr>
        <w:tcBorders>
          <w:top w:val="nil"/>
          <w:left w:val="nil"/>
          <w:bottom w:val="nil"/>
          <w:right w:val="nil"/>
          <w:insideH w:val="nil"/>
          <w:insideV w:val="nil"/>
          <w:tl2br w:val="nil"/>
          <w:tr2bl w:val="nil"/>
        </w:tcBorders>
        <w:shd w:val="clear" w:color="auto" w:fill="D6D6D6"/>
      </w:tcPr>
    </w:tblStylePr>
    <w:tblStylePr w:type="band2Horz">
      <w:tblPr/>
      <w:tcPr>
        <w:tcBorders>
          <w:top w:val="nil"/>
          <w:left w:val="nil"/>
          <w:bottom w:val="nil"/>
          <w:right w:val="nil"/>
          <w:insideH w:val="nil"/>
          <w:insideV w:val="nil"/>
          <w:tl2br w:val="nil"/>
          <w:tr2bl w:val="nil"/>
        </w:tcBorders>
        <w:shd w:val="clear" w:color="auto" w:fill="F2F2F2"/>
      </w:tcPr>
    </w:tblStylePr>
  </w:style>
  <w:style w:type="paragraph" w:customStyle="1" w:styleId="TBHeaderJLL">
    <w:name w:val="TB_Header_JLL"/>
    <w:basedOn w:val="Normal"/>
    <w:uiPriority w:val="14"/>
    <w:qFormat/>
    <w:rsid w:val="00960479"/>
    <w:pPr>
      <w:spacing w:before="20" w:after="20" w:line="240" w:lineRule="exact"/>
    </w:pPr>
    <w:rPr>
      <w:rFonts w:ascii="Source Sans Pro Semibold" w:eastAsiaTheme="minorHAnsi" w:hAnsi="Source Sans Pro Semibold" w:cstheme="minorBidi"/>
      <w:color w:val="FFFFFF"/>
      <w:sz w:val="20"/>
      <w:szCs w:val="22"/>
      <w:lang w:eastAsia="en-US"/>
    </w:rPr>
  </w:style>
  <w:style w:type="paragraph" w:customStyle="1" w:styleId="TBTextJLL">
    <w:name w:val="TB_Text_JLL"/>
    <w:basedOn w:val="Normal"/>
    <w:uiPriority w:val="15"/>
    <w:qFormat/>
    <w:rsid w:val="00960479"/>
    <w:pPr>
      <w:spacing w:before="20" w:after="20" w:line="240" w:lineRule="exact"/>
    </w:pPr>
    <w:rPr>
      <w:rFonts w:ascii="Source Sans Pro" w:eastAsiaTheme="minorHAnsi" w:hAnsi="Source Sans Pro" w:cstheme="minorBidi"/>
      <w:color w:val="797979"/>
      <w:sz w:val="20"/>
      <w:szCs w:val="22"/>
      <w:lang w:eastAsia="en-US"/>
    </w:rPr>
  </w:style>
  <w:style w:type="character" w:customStyle="1" w:styleId="JLLBodyTextChar">
    <w:name w:val="JLL_Body Text Char"/>
    <w:basedOn w:val="DefaultParagraphFont"/>
    <w:link w:val="JLLBodyText"/>
    <w:locked/>
    <w:rsid w:val="00960479"/>
    <w:rPr>
      <w:rFonts w:ascii="Arial Narrow" w:hAnsi="Arial Narrow"/>
      <w:sz w:val="22"/>
      <w:szCs w:val="24"/>
    </w:rPr>
  </w:style>
  <w:style w:type="character" w:styleId="LineNumber">
    <w:name w:val="line number"/>
    <w:basedOn w:val="DefaultParagraphFont"/>
    <w:semiHidden/>
    <w:unhideWhenUsed/>
    <w:rsid w:val="00531113"/>
  </w:style>
  <w:style w:type="character" w:customStyle="1" w:styleId="FooterChar">
    <w:name w:val="Footer Char"/>
    <w:aliases w:val="zzFooter Char"/>
    <w:basedOn w:val="DefaultParagraphFont"/>
    <w:link w:val="Footer"/>
    <w:uiPriority w:val="99"/>
    <w:rsid w:val="001C5F46"/>
    <w:rPr>
      <w:color w:val="000000"/>
      <w:sz w:val="18"/>
      <w:szCs w:val="24"/>
    </w:rPr>
  </w:style>
  <w:style w:type="table" w:customStyle="1" w:styleId="TableGrid1">
    <w:name w:val="Table Grid1"/>
    <w:basedOn w:val="TableNormal"/>
    <w:next w:val="TableGrid"/>
    <w:uiPriority w:val="39"/>
    <w:rsid w:val="001256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40422129">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4568648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1354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CF13645668BC4482EA01B254151CC0" ma:contentTypeVersion="10" ma:contentTypeDescription="Create a new document." ma:contentTypeScope="" ma:versionID="ee10fe833b3e7ae632d0e8bd6b9d0b1a">
  <xsd:schema xmlns:xsd="http://www.w3.org/2001/XMLSchema" xmlns:xs="http://www.w3.org/2001/XMLSchema" xmlns:p="http://schemas.microsoft.com/office/2006/metadata/properties" xmlns:ns3="6b8574a5-369a-4c74-aa72-e99e3b4e1b7a" xmlns:ns4="da7ac34e-70bb-4848-b601-fcd18cba1861" targetNamespace="http://schemas.microsoft.com/office/2006/metadata/properties" ma:root="true" ma:fieldsID="835ca11efe0a692fad1c4618dfbc69c4" ns3:_="" ns4:_="">
    <xsd:import namespace="6b8574a5-369a-4c74-aa72-e99e3b4e1b7a"/>
    <xsd:import namespace="da7ac34e-70bb-4848-b601-fcd18cba18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574a5-369a-4c74-aa72-e99e3b4e1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ac34e-70bb-4848-b601-fcd18cba18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4815-C8ED-4B4E-A4B2-A9EC96CEBD42}">
  <ds:schemaRefs>
    <ds:schemaRef ds:uri="http://schemas.microsoft.com/sharepoint/v3/contenttype/forms"/>
  </ds:schemaRefs>
</ds:datastoreItem>
</file>

<file path=customXml/itemProps2.xml><?xml version="1.0" encoding="utf-8"?>
<ds:datastoreItem xmlns:ds="http://schemas.openxmlformats.org/officeDocument/2006/customXml" ds:itemID="{992EE890-8E4C-4515-BFB9-BFB20226D6EB}">
  <ds:schemaRefs>
    <ds:schemaRef ds:uri="da7ac34e-70bb-4848-b601-fcd18cba1861"/>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6b8574a5-369a-4c74-aa72-e99e3b4e1b7a"/>
    <ds:schemaRef ds:uri="http://purl.org/dc/dcmitype/"/>
  </ds:schemaRefs>
</ds:datastoreItem>
</file>

<file path=customXml/itemProps3.xml><?xml version="1.0" encoding="utf-8"?>
<ds:datastoreItem xmlns:ds="http://schemas.openxmlformats.org/officeDocument/2006/customXml" ds:itemID="{372996C6-FBE7-45A3-A077-650B729FF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574a5-369a-4c74-aa72-e99e3b4e1b7a"/>
    <ds:schemaRef ds:uri="da7ac34e-70bb-4848-b601-fcd18cba1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E528B-23DA-4861-BFD3-6BCE91EE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5DEF4F10</Template>
  <TotalTime>2</TotalTime>
  <Pages>4</Pages>
  <Words>1044</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ntwigg</dc:creator>
  <cp:lastModifiedBy>JMitchell</cp:lastModifiedBy>
  <cp:revision>7</cp:revision>
  <cp:lastPrinted>2019-11-12T15:28:00Z</cp:lastPrinted>
  <dcterms:created xsi:type="dcterms:W3CDTF">2019-11-15T15:47:00Z</dcterms:created>
  <dcterms:modified xsi:type="dcterms:W3CDTF">2019-12-10T11:11:00Z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0x010100A9CF13645668BC4482EA01B254151CC0</vt:lpwstr>
  </property>
</Properties>
</file>